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600" w:lineRule="exact"/>
        <w:rPr>
          <w:rFonts w:hint="eastAsia" w:ascii="黑体" w:eastAsia="黑体"/>
          <w:sz w:val="32"/>
          <w:szCs w:val="32"/>
        </w:rPr>
      </w:pPr>
    </w:p>
    <w:p>
      <w:pPr>
        <w:pStyle w:val="4"/>
        <w:spacing w:line="560" w:lineRule="exact"/>
        <w:jc w:val="center"/>
        <w:textAlignment w:val="baseline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厦门工会先进职工服务站、优秀工会专干名额分配表</w:t>
      </w:r>
    </w:p>
    <w:p>
      <w:pPr>
        <w:pStyle w:val="4"/>
        <w:spacing w:line="560" w:lineRule="exact"/>
        <w:jc w:val="center"/>
        <w:textAlignment w:val="baseline"/>
        <w:rPr>
          <w:rFonts w:hint="eastAsia" w:ascii="黑体" w:hAnsi="宋体" w:eastAsia="黑体"/>
          <w:sz w:val="36"/>
          <w:szCs w:val="36"/>
        </w:rPr>
      </w:pPr>
    </w:p>
    <w:tbl>
      <w:tblPr>
        <w:tblStyle w:val="3"/>
        <w:tblpPr w:leftFromText="180" w:rightFromText="180" w:vertAnchor="text" w:horzAnchor="margin" w:tblpXSpec="center" w:tblpY="246"/>
        <w:tblW w:w="81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2364"/>
        <w:gridCol w:w="2021"/>
        <w:gridCol w:w="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right="420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项</w:t>
            </w:r>
            <w:r>
              <w:rPr>
                <w:rFonts w:hint="eastAsia" w:eastAsia="仿宋_GB2312"/>
                <w:b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目</w:t>
            </w:r>
          </w:p>
          <w:p>
            <w:pPr>
              <w:spacing w:line="480" w:lineRule="exact"/>
              <w:jc w:val="left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</w:rPr>
              <w:t>单</w:t>
            </w:r>
            <w:r>
              <w:rPr>
                <w:rFonts w:hint="eastAsia" w:eastAsia="仿宋_GB2312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位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  <w:t>先进职工服务站</w:t>
            </w:r>
          </w:p>
          <w:p>
            <w:pPr>
              <w:widowControl/>
              <w:spacing w:line="460" w:lineRule="exact"/>
              <w:jc w:val="center"/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  <w:t>表扬名额/总数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优秀工会</w:t>
            </w: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  <w:t>专干</w:t>
            </w:r>
          </w:p>
          <w:p>
            <w:pPr>
              <w:widowControl/>
              <w:spacing w:line="4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  <w:t>表扬名额/总数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思明区总工会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  <w:t>3　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  <w:t>4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湖里区总工会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  <w:t>2　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  <w:t>3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集美区总工会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  <w:t>2　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  <w:t>3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海沧区总工会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  <w:t>1　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  <w:t>2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同安区总工会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  <w:t>3　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  <w:t>4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翔安区总工会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  <w:t>1　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  <w:t>2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自贸区工会、市级产业工会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  <w:t>3　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  <w:t>2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907" w:hRule="exact"/>
        </w:trPr>
        <w:tc>
          <w:tcPr>
            <w:tcW w:w="3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合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kern w:val="0"/>
                <w:sz w:val="28"/>
                <w:szCs w:val="28"/>
              </w:rPr>
              <w:t>计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  <w:t>15　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  <w:t>20　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decorative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014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uiPriority w:val="0"/>
    <w:pPr>
      <w:widowControl w:val="0"/>
      <w:jc w:val="both"/>
    </w:pPr>
    <w:rPr>
      <w:rFonts w:eastAsia="楷体_GB2312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2018-08-06T02:33:49Z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