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ascii="黑体" w:eastAsia="黑体"/>
          <w:sz w:val="32"/>
          <w:szCs w:val="32"/>
        </w:rPr>
      </w:pPr>
      <w:r>
        <w:rPr>
          <w:rFonts w:ascii="黑体" w:eastAsia="黑体"/>
          <w:sz w:val="32"/>
          <w:szCs w:val="32"/>
        </w:rPr>
        <w:t>附件</w:t>
      </w:r>
      <w:r>
        <w:rPr>
          <w:rFonts w:hint="eastAsia" w:ascii="黑体" w:eastAsia="黑体"/>
          <w:sz w:val="32"/>
          <w:szCs w:val="32"/>
        </w:rPr>
        <w:t>6</w:t>
      </w:r>
    </w:p>
    <w:p>
      <w:pPr>
        <w:pStyle w:val="4"/>
        <w:spacing w:before="156" w:beforeLines="50" w:after="156" w:afterLines="50" w:line="560" w:lineRule="exact"/>
        <w:jc w:val="center"/>
        <w:textAlignment w:val="baseline"/>
        <w:rPr>
          <w:rFonts w:ascii="方正小标宋简体" w:hAnsi="宋体" w:eastAsia="方正小标宋简体"/>
          <w:sz w:val="36"/>
          <w:szCs w:val="36"/>
        </w:rPr>
      </w:pPr>
      <w:r>
        <w:rPr>
          <w:rFonts w:hint="eastAsia" w:ascii="方正小标宋简体" w:hAnsi="宋体" w:eastAsia="方正小标宋简体"/>
          <w:sz w:val="36"/>
          <w:szCs w:val="36"/>
        </w:rPr>
        <w:t>厦门</w:t>
      </w:r>
      <w:r>
        <w:rPr>
          <w:rFonts w:ascii="方正小标宋简体" w:hAnsi="宋体" w:eastAsia="方正小标宋简体"/>
          <w:sz w:val="36"/>
          <w:szCs w:val="36"/>
        </w:rPr>
        <w:t>机关、事业单位工会</w:t>
      </w:r>
      <w:r>
        <w:rPr>
          <w:rFonts w:hint="eastAsia" w:ascii="方正小标宋简体" w:hAnsi="宋体" w:eastAsia="方正小标宋简体"/>
          <w:sz w:val="36"/>
          <w:szCs w:val="36"/>
        </w:rPr>
        <w:t>达标</w:t>
      </w:r>
      <w:r>
        <w:rPr>
          <w:rFonts w:ascii="方正小标宋简体" w:hAnsi="宋体" w:eastAsia="方正小标宋简体"/>
          <w:sz w:val="36"/>
          <w:szCs w:val="36"/>
        </w:rPr>
        <w:t>创优活动考评表</w:t>
      </w:r>
    </w:p>
    <w:p>
      <w:pPr>
        <w:spacing w:before="156" w:beforeLines="50" w:after="156" w:afterLines="50" w:line="400" w:lineRule="exact"/>
        <w:ind w:left="-25" w:leftChars="-28" w:hanging="34" w:hangingChars="14"/>
        <w:rPr>
          <w:rFonts w:eastAsia="仿宋_GB2312"/>
          <w:b/>
          <w:bCs/>
          <w:kern w:val="0"/>
          <w:sz w:val="24"/>
        </w:rPr>
      </w:pPr>
      <w:r>
        <w:rPr>
          <w:rFonts w:eastAsia="仿宋_GB2312"/>
          <w:b/>
          <w:bCs/>
          <w:kern w:val="0"/>
          <w:sz w:val="24"/>
        </w:rPr>
        <w:t>基层工会名称(盖章)：</w:t>
      </w:r>
    </w:p>
    <w:tbl>
      <w:tblPr>
        <w:tblStyle w:val="3"/>
        <w:tblW w:w="9140" w:type="dxa"/>
        <w:tblInd w:w="0" w:type="dxa"/>
        <w:tblLayout w:type="fixed"/>
        <w:tblCellMar>
          <w:top w:w="0" w:type="dxa"/>
          <w:left w:w="108" w:type="dxa"/>
          <w:bottom w:w="0" w:type="dxa"/>
          <w:right w:w="108" w:type="dxa"/>
        </w:tblCellMar>
      </w:tblPr>
      <w:tblGrid>
        <w:gridCol w:w="836"/>
        <w:gridCol w:w="5811"/>
        <w:gridCol w:w="501"/>
        <w:gridCol w:w="518"/>
        <w:gridCol w:w="671"/>
        <w:gridCol w:w="803"/>
      </w:tblGrid>
      <w:tr>
        <w:tblPrEx>
          <w:tblLayout w:type="fixed"/>
          <w:tblCellMar>
            <w:top w:w="0" w:type="dxa"/>
            <w:left w:w="108" w:type="dxa"/>
            <w:bottom w:w="0" w:type="dxa"/>
            <w:right w:w="108" w:type="dxa"/>
          </w:tblCellMar>
        </w:tblPrEx>
        <w:trPr>
          <w:trHeight w:val="1261" w:hRule="atLeast"/>
        </w:trPr>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eastAsia="仿宋_GB2312"/>
                <w:b/>
                <w:bCs/>
                <w:kern w:val="0"/>
                <w:sz w:val="24"/>
              </w:rPr>
            </w:pPr>
            <w:r>
              <w:rPr>
                <w:rFonts w:hint="eastAsia" w:ascii="仿宋_GB2312" w:eastAsia="仿宋_GB2312"/>
                <w:b/>
                <w:bCs/>
                <w:kern w:val="0"/>
                <w:sz w:val="24"/>
              </w:rPr>
              <w:t>要求</w:t>
            </w:r>
          </w:p>
        </w:tc>
        <w:tc>
          <w:tcPr>
            <w:tcW w:w="5811"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b/>
                <w:bCs/>
                <w:kern w:val="0"/>
                <w:sz w:val="24"/>
              </w:rPr>
            </w:pPr>
            <w:r>
              <w:rPr>
                <w:rFonts w:hint="eastAsia" w:ascii="仿宋_GB2312" w:eastAsia="仿宋_GB2312"/>
                <w:b/>
                <w:sz w:val="24"/>
              </w:rPr>
              <w:t>内   容</w:t>
            </w:r>
          </w:p>
        </w:tc>
        <w:tc>
          <w:tcPr>
            <w:tcW w:w="501"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eastAsia="仿宋_GB2312"/>
                <w:b/>
                <w:bCs/>
                <w:kern w:val="0"/>
                <w:sz w:val="24"/>
              </w:rPr>
            </w:pPr>
            <w:r>
              <w:rPr>
                <w:rFonts w:eastAsia="仿宋_GB2312"/>
                <w:b/>
                <w:bCs/>
                <w:kern w:val="0"/>
                <w:sz w:val="24"/>
              </w:rPr>
              <w:t>标准分</w:t>
            </w:r>
          </w:p>
        </w:tc>
        <w:tc>
          <w:tcPr>
            <w:tcW w:w="518"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eastAsia="仿宋_GB2312"/>
                <w:b/>
                <w:bCs/>
                <w:kern w:val="0"/>
                <w:sz w:val="24"/>
              </w:rPr>
            </w:pPr>
            <w:r>
              <w:rPr>
                <w:rFonts w:hint="eastAsia" w:ascii="仿宋_GB2312" w:eastAsia="仿宋_GB2312"/>
                <w:b/>
                <w:bCs/>
                <w:kern w:val="0"/>
                <w:sz w:val="24"/>
              </w:rPr>
              <w:t>自评分</w:t>
            </w:r>
          </w:p>
        </w:tc>
        <w:tc>
          <w:tcPr>
            <w:tcW w:w="671" w:type="dxa"/>
            <w:tcBorders>
              <w:top w:val="single" w:color="auto" w:sz="4" w:space="0"/>
              <w:left w:val="nil"/>
              <w:bottom w:val="single" w:color="auto" w:sz="4" w:space="0"/>
              <w:right w:val="single" w:color="auto" w:sz="4" w:space="0"/>
            </w:tcBorders>
            <w:vAlign w:val="center"/>
          </w:tcPr>
          <w:p>
            <w:pPr>
              <w:widowControl/>
              <w:spacing w:line="280" w:lineRule="exact"/>
              <w:rPr>
                <w:rFonts w:hint="eastAsia" w:ascii="仿宋_GB2312" w:eastAsia="仿宋_GB2312"/>
                <w:b/>
                <w:bCs/>
                <w:kern w:val="0"/>
                <w:sz w:val="24"/>
              </w:rPr>
            </w:pPr>
            <w:r>
              <w:rPr>
                <w:rFonts w:hint="eastAsia" w:ascii="仿宋_GB2312" w:eastAsia="仿宋_GB2312"/>
                <w:b/>
                <w:bCs/>
                <w:kern w:val="0"/>
                <w:sz w:val="24"/>
              </w:rPr>
              <w:t>区、产业评分</w:t>
            </w:r>
          </w:p>
        </w:tc>
        <w:tc>
          <w:tcPr>
            <w:tcW w:w="8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eastAsia="仿宋_GB2312"/>
                <w:b/>
                <w:bCs/>
                <w:kern w:val="0"/>
                <w:sz w:val="24"/>
              </w:rPr>
            </w:pPr>
            <w:r>
              <w:rPr>
                <w:rFonts w:hint="eastAsia" w:ascii="仿宋_GB2312" w:eastAsia="仿宋_GB2312"/>
                <w:b/>
                <w:bCs/>
                <w:kern w:val="0"/>
                <w:sz w:val="24"/>
              </w:rPr>
              <w:t>市总　　</w:t>
            </w:r>
          </w:p>
          <w:p>
            <w:pPr>
              <w:widowControl/>
              <w:spacing w:line="280" w:lineRule="exact"/>
              <w:jc w:val="center"/>
              <w:rPr>
                <w:rFonts w:hint="eastAsia" w:ascii="仿宋_GB2312" w:eastAsia="仿宋_GB2312"/>
                <w:b/>
                <w:bCs/>
                <w:kern w:val="0"/>
                <w:sz w:val="24"/>
              </w:rPr>
            </w:pPr>
            <w:r>
              <w:rPr>
                <w:rFonts w:hint="eastAsia" w:ascii="仿宋_GB2312" w:eastAsia="仿宋_GB2312"/>
                <w:b/>
                <w:bCs/>
                <w:kern w:val="0"/>
                <w:sz w:val="24"/>
              </w:rPr>
              <w:t>评分</w:t>
            </w:r>
          </w:p>
        </w:tc>
      </w:tr>
      <w:tr>
        <w:tblPrEx>
          <w:tblLayout w:type="fixed"/>
          <w:tblCellMar>
            <w:top w:w="0" w:type="dxa"/>
            <w:left w:w="108" w:type="dxa"/>
            <w:bottom w:w="0" w:type="dxa"/>
            <w:right w:w="108" w:type="dxa"/>
          </w:tblCellMar>
        </w:tblPrEx>
        <w:trPr>
          <w:trHeight w:val="1011" w:hRule="atLeast"/>
        </w:trPr>
        <w:tc>
          <w:tcPr>
            <w:tcW w:w="836" w:type="dxa"/>
            <w:vMerge w:val="restart"/>
            <w:tcBorders>
              <w:top w:val="nil"/>
              <w:left w:val="single" w:color="auto" w:sz="4" w:space="0"/>
              <w:bottom w:val="single" w:color="000000" w:sz="4" w:space="0"/>
              <w:right w:val="single" w:color="auto" w:sz="4" w:space="0"/>
            </w:tcBorders>
            <w:vAlign w:val="center"/>
          </w:tcPr>
          <w:p>
            <w:pPr>
              <w:widowControl/>
              <w:spacing w:line="360" w:lineRule="exact"/>
              <w:jc w:val="center"/>
              <w:rPr>
                <w:rFonts w:hint="eastAsia" w:ascii="仿宋_GB2312" w:eastAsia="仿宋_GB2312"/>
                <w:kern w:val="0"/>
                <w:sz w:val="24"/>
              </w:rPr>
            </w:pPr>
            <w:r>
              <w:rPr>
                <w:rFonts w:hint="eastAsia" w:ascii="仿宋_GB2312" w:eastAsia="仿宋_GB2312"/>
                <w:kern w:val="0"/>
                <w:sz w:val="24"/>
              </w:rPr>
              <w:t>(一)组织  建设好</w:t>
            </w:r>
          </w:p>
        </w:tc>
        <w:tc>
          <w:tcPr>
            <w:tcW w:w="5811"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eastAsia="仿宋_GB2312"/>
                <w:kern w:val="0"/>
                <w:sz w:val="24"/>
              </w:rPr>
            </w:pPr>
            <w:r>
              <w:rPr>
                <w:rFonts w:hint="eastAsia" w:ascii="仿宋_GB2312" w:eastAsia="仿宋_GB2312"/>
                <w:kern w:val="0"/>
                <w:sz w:val="24"/>
              </w:rPr>
              <w:t>工会组织健全，三委按时换届，作用良好(5分)；工会干部按规定配备到位，</w:t>
            </w:r>
            <w:r>
              <w:rPr>
                <w:rFonts w:hint="eastAsia" w:ascii="仿宋_GB2312" w:eastAsia="仿宋_GB2312"/>
                <w:sz w:val="24"/>
              </w:rPr>
              <w:t>工会主席、女职工主任、经审主任等待遇落实，建立工会劳动法律监督委员会(5分)。</w:t>
            </w:r>
          </w:p>
        </w:tc>
        <w:tc>
          <w:tcPr>
            <w:tcW w:w="501" w:type="dxa"/>
            <w:tcBorders>
              <w:top w:val="nil"/>
              <w:left w:val="nil"/>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10</w:t>
            </w:r>
          </w:p>
        </w:tc>
        <w:tc>
          <w:tcPr>
            <w:tcW w:w="518" w:type="dxa"/>
            <w:tcBorders>
              <w:top w:val="nil"/>
              <w:left w:val="nil"/>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c>
          <w:tcPr>
            <w:tcW w:w="671" w:type="dxa"/>
            <w:tcBorders>
              <w:top w:val="nil"/>
              <w:left w:val="nil"/>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c>
          <w:tcPr>
            <w:tcW w:w="803" w:type="dxa"/>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kern w:val="0"/>
                <w:sz w:val="24"/>
              </w:rPr>
            </w:pPr>
            <w:r>
              <w:rPr>
                <w:rFonts w:hint="eastAsia" w:ascii="仿宋_GB2312" w:eastAsia="仿宋_GB2312"/>
                <w:kern w:val="0"/>
                <w:sz w:val="24"/>
              </w:rPr>
              <w:t>　</w:t>
            </w:r>
          </w:p>
        </w:tc>
      </w:tr>
      <w:tr>
        <w:tblPrEx>
          <w:tblLayout w:type="fixed"/>
          <w:tblCellMar>
            <w:top w:w="0" w:type="dxa"/>
            <w:left w:w="108" w:type="dxa"/>
            <w:bottom w:w="0" w:type="dxa"/>
            <w:right w:w="108" w:type="dxa"/>
          </w:tblCellMar>
        </w:tblPrEx>
        <w:trPr>
          <w:trHeight w:val="761" w:hRule="atLeast"/>
        </w:trPr>
        <w:tc>
          <w:tcPr>
            <w:tcW w:w="836"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eastAsia" w:ascii="仿宋_GB2312" w:eastAsia="仿宋_GB2312"/>
                <w:kern w:val="0"/>
                <w:sz w:val="24"/>
              </w:rPr>
            </w:pPr>
          </w:p>
        </w:tc>
        <w:tc>
          <w:tcPr>
            <w:tcW w:w="5811"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eastAsia="仿宋_GB2312"/>
                <w:kern w:val="0"/>
                <w:sz w:val="24"/>
              </w:rPr>
            </w:pPr>
            <w:r>
              <w:rPr>
                <w:rFonts w:hint="eastAsia" w:ascii="仿宋_GB2312" w:eastAsia="仿宋_GB2312"/>
                <w:kern w:val="0"/>
                <w:sz w:val="24"/>
              </w:rPr>
              <w:t>工会设独立帐户，依法缴交、使用工会经费，</w:t>
            </w:r>
            <w:r>
              <w:rPr>
                <w:rFonts w:hint="eastAsia" w:ascii="仿宋_GB2312" w:eastAsia="仿宋_GB2312"/>
                <w:sz w:val="24"/>
              </w:rPr>
              <w:t>工会经费开支由工会主席审批，符合财务管理制度</w:t>
            </w:r>
            <w:r>
              <w:rPr>
                <w:rFonts w:hint="eastAsia" w:ascii="仿宋_GB2312" w:eastAsia="仿宋_GB2312"/>
                <w:kern w:val="0"/>
                <w:sz w:val="24"/>
              </w:rPr>
              <w:t>并有开展经审工作。</w:t>
            </w:r>
          </w:p>
        </w:tc>
        <w:tc>
          <w:tcPr>
            <w:tcW w:w="501" w:type="dxa"/>
            <w:tcBorders>
              <w:top w:val="nil"/>
              <w:left w:val="nil"/>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10</w:t>
            </w:r>
          </w:p>
        </w:tc>
        <w:tc>
          <w:tcPr>
            <w:tcW w:w="518" w:type="dxa"/>
            <w:tcBorders>
              <w:top w:val="nil"/>
              <w:left w:val="nil"/>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c>
          <w:tcPr>
            <w:tcW w:w="671" w:type="dxa"/>
            <w:tcBorders>
              <w:top w:val="nil"/>
              <w:left w:val="nil"/>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c>
          <w:tcPr>
            <w:tcW w:w="803" w:type="dxa"/>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kern w:val="0"/>
                <w:sz w:val="24"/>
              </w:rPr>
            </w:pPr>
            <w:r>
              <w:rPr>
                <w:rFonts w:hint="eastAsia" w:ascii="仿宋_GB2312" w:eastAsia="仿宋_GB2312"/>
                <w:kern w:val="0"/>
                <w:sz w:val="24"/>
              </w:rPr>
              <w:t>　</w:t>
            </w:r>
          </w:p>
        </w:tc>
      </w:tr>
      <w:tr>
        <w:tblPrEx>
          <w:tblLayout w:type="fixed"/>
          <w:tblCellMar>
            <w:top w:w="0" w:type="dxa"/>
            <w:left w:w="108" w:type="dxa"/>
            <w:bottom w:w="0" w:type="dxa"/>
            <w:right w:w="108" w:type="dxa"/>
          </w:tblCellMar>
        </w:tblPrEx>
        <w:trPr>
          <w:trHeight w:val="1011" w:hRule="atLeast"/>
        </w:trPr>
        <w:tc>
          <w:tcPr>
            <w:tcW w:w="836" w:type="dxa"/>
            <w:vMerge w:val="restart"/>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eastAsia="仿宋_GB2312"/>
                <w:kern w:val="0"/>
                <w:sz w:val="24"/>
              </w:rPr>
            </w:pPr>
            <w:r>
              <w:rPr>
                <w:rFonts w:hint="eastAsia" w:ascii="仿宋_GB2312" w:eastAsia="仿宋_GB2312"/>
                <w:kern w:val="0"/>
                <w:sz w:val="24"/>
              </w:rPr>
              <w:t>(二)制度  建设好</w:t>
            </w:r>
          </w:p>
        </w:tc>
        <w:tc>
          <w:tcPr>
            <w:tcW w:w="5811" w:type="dxa"/>
            <w:tcBorders>
              <w:top w:val="nil"/>
              <w:left w:val="nil"/>
              <w:bottom w:val="nil"/>
              <w:right w:val="nil"/>
            </w:tcBorders>
            <w:vAlign w:val="center"/>
          </w:tcPr>
          <w:p>
            <w:pPr>
              <w:widowControl/>
              <w:spacing w:line="280" w:lineRule="exact"/>
              <w:jc w:val="left"/>
              <w:rPr>
                <w:rFonts w:hint="eastAsia" w:ascii="仿宋_GB2312" w:eastAsia="仿宋_GB2312"/>
                <w:kern w:val="0"/>
                <w:sz w:val="24"/>
              </w:rPr>
            </w:pPr>
            <w:r>
              <w:rPr>
                <w:rFonts w:hint="eastAsia" w:ascii="仿宋_GB2312" w:eastAsia="仿宋_GB2312"/>
                <w:kern w:val="0"/>
                <w:sz w:val="24"/>
              </w:rPr>
              <w:t>党政重视支持工会建家工作，成立党政工共建领导小组，下发共建文件，建家活动纳入单位年度工作计划（5分）；建立工会与行政联席会议制度，定期召开会议，研究工会、职工、建家等工作问题（5分）。</w:t>
            </w:r>
          </w:p>
        </w:tc>
        <w:tc>
          <w:tcPr>
            <w:tcW w:w="501"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10</w:t>
            </w:r>
          </w:p>
        </w:tc>
        <w:tc>
          <w:tcPr>
            <w:tcW w:w="518" w:type="dxa"/>
            <w:tcBorders>
              <w:top w:val="nil"/>
              <w:left w:val="nil"/>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c>
          <w:tcPr>
            <w:tcW w:w="671" w:type="dxa"/>
            <w:tcBorders>
              <w:top w:val="nil"/>
              <w:left w:val="nil"/>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c>
          <w:tcPr>
            <w:tcW w:w="803"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r>
      <w:tr>
        <w:tblPrEx>
          <w:tblLayout w:type="fixed"/>
          <w:tblCellMar>
            <w:top w:w="0" w:type="dxa"/>
            <w:left w:w="108" w:type="dxa"/>
            <w:bottom w:w="0" w:type="dxa"/>
            <w:right w:w="108" w:type="dxa"/>
          </w:tblCellMar>
        </w:tblPrEx>
        <w:trPr>
          <w:trHeight w:val="1261" w:hRule="atLeast"/>
        </w:trPr>
        <w:tc>
          <w:tcPr>
            <w:tcW w:w="83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仿宋_GB2312" w:eastAsia="仿宋_GB2312"/>
                <w:kern w:val="0"/>
                <w:sz w:val="24"/>
              </w:rPr>
            </w:pPr>
          </w:p>
        </w:tc>
        <w:tc>
          <w:tcPr>
            <w:tcW w:w="5811" w:type="dxa"/>
            <w:tcBorders>
              <w:top w:val="single" w:color="auto" w:sz="4" w:space="0"/>
              <w:left w:val="nil"/>
              <w:bottom w:val="single" w:color="auto" w:sz="4" w:space="0"/>
              <w:right w:val="single" w:color="auto" w:sz="4" w:space="0"/>
            </w:tcBorders>
            <w:vAlign w:val="center"/>
          </w:tcPr>
          <w:p>
            <w:pPr>
              <w:widowControl/>
              <w:spacing w:line="280" w:lineRule="exact"/>
              <w:jc w:val="left"/>
              <w:rPr>
                <w:rFonts w:hint="eastAsia" w:ascii="仿宋_GB2312" w:eastAsia="仿宋_GB2312"/>
                <w:kern w:val="0"/>
                <w:sz w:val="24"/>
              </w:rPr>
            </w:pPr>
            <w:r>
              <w:rPr>
                <w:rFonts w:hint="eastAsia" w:ascii="仿宋_GB2312" w:eastAsia="仿宋_GB2312"/>
                <w:kern w:val="0"/>
                <w:sz w:val="24"/>
              </w:rPr>
              <w:t>职工(代表)大会制度健全，每年至少召开一次职代会和会员(代表)大会(5分)；密切联系职工群众，积极向党政部门反映职工的诉求，表达和维护好职工合法权益，履行好第一责任人职责，实行机关内部事务公开制度并富有成效，职工满意率达95%以上（5分）。</w:t>
            </w:r>
          </w:p>
        </w:tc>
        <w:tc>
          <w:tcPr>
            <w:tcW w:w="501" w:type="dxa"/>
            <w:tcBorders>
              <w:top w:val="nil"/>
              <w:left w:val="nil"/>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10</w:t>
            </w:r>
          </w:p>
        </w:tc>
        <w:tc>
          <w:tcPr>
            <w:tcW w:w="518" w:type="dxa"/>
            <w:tcBorders>
              <w:top w:val="nil"/>
              <w:left w:val="nil"/>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c>
          <w:tcPr>
            <w:tcW w:w="671" w:type="dxa"/>
            <w:tcBorders>
              <w:top w:val="nil"/>
              <w:left w:val="nil"/>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c>
          <w:tcPr>
            <w:tcW w:w="803"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r>
      <w:tr>
        <w:tblPrEx>
          <w:tblLayout w:type="fixed"/>
          <w:tblCellMar>
            <w:top w:w="0" w:type="dxa"/>
            <w:left w:w="108" w:type="dxa"/>
            <w:bottom w:w="0" w:type="dxa"/>
            <w:right w:w="108" w:type="dxa"/>
          </w:tblCellMar>
        </w:tblPrEx>
        <w:trPr>
          <w:trHeight w:val="1261" w:hRule="atLeast"/>
        </w:trPr>
        <w:tc>
          <w:tcPr>
            <w:tcW w:w="83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仿宋_GB2312" w:eastAsia="仿宋_GB2312"/>
                <w:kern w:val="0"/>
                <w:sz w:val="24"/>
              </w:rPr>
            </w:pPr>
          </w:p>
        </w:tc>
        <w:tc>
          <w:tcPr>
            <w:tcW w:w="5811"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eastAsia="仿宋_GB2312"/>
                <w:kern w:val="0"/>
                <w:sz w:val="24"/>
              </w:rPr>
            </w:pPr>
            <w:r>
              <w:rPr>
                <w:rFonts w:hint="eastAsia" w:ascii="仿宋_GB2312" w:eastAsia="仿宋_GB2312"/>
                <w:kern w:val="0"/>
                <w:sz w:val="24"/>
              </w:rPr>
              <w:t>各项工作制度完善，工作有计划有总结，工会（包括建家工作、工会会员会籍管理）各项台账、档案材料齐全，专人负责,管理规范(5分)；职工参与年度考核中的民主评议、民主测评工作，对机关干部特别是领导干部实行民主监督(5分)。</w:t>
            </w:r>
          </w:p>
        </w:tc>
        <w:tc>
          <w:tcPr>
            <w:tcW w:w="501" w:type="dxa"/>
            <w:tcBorders>
              <w:top w:val="nil"/>
              <w:left w:val="nil"/>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10</w:t>
            </w:r>
          </w:p>
        </w:tc>
        <w:tc>
          <w:tcPr>
            <w:tcW w:w="518" w:type="dxa"/>
            <w:tcBorders>
              <w:top w:val="nil"/>
              <w:left w:val="nil"/>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c>
          <w:tcPr>
            <w:tcW w:w="671" w:type="dxa"/>
            <w:tcBorders>
              <w:top w:val="nil"/>
              <w:left w:val="nil"/>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c>
          <w:tcPr>
            <w:tcW w:w="803"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r>
      <w:tr>
        <w:tblPrEx>
          <w:tblLayout w:type="fixed"/>
          <w:tblCellMar>
            <w:top w:w="0" w:type="dxa"/>
            <w:left w:w="108" w:type="dxa"/>
            <w:bottom w:w="0" w:type="dxa"/>
            <w:right w:w="108" w:type="dxa"/>
          </w:tblCellMar>
        </w:tblPrEx>
        <w:trPr>
          <w:trHeight w:val="1261" w:hRule="atLeast"/>
        </w:trPr>
        <w:tc>
          <w:tcPr>
            <w:tcW w:w="836" w:type="dxa"/>
            <w:vMerge w:val="restart"/>
            <w:tcBorders>
              <w:top w:val="nil"/>
              <w:left w:val="single" w:color="auto" w:sz="4" w:space="0"/>
              <w:bottom w:val="single" w:color="000000" w:sz="4" w:space="0"/>
              <w:right w:val="single" w:color="auto" w:sz="4" w:space="0"/>
            </w:tcBorders>
            <w:vAlign w:val="center"/>
          </w:tcPr>
          <w:p>
            <w:pPr>
              <w:widowControl/>
              <w:spacing w:line="360" w:lineRule="exact"/>
              <w:jc w:val="center"/>
              <w:rPr>
                <w:rFonts w:hint="eastAsia" w:ascii="仿宋_GB2312" w:eastAsia="仿宋_GB2312"/>
                <w:kern w:val="0"/>
                <w:sz w:val="24"/>
              </w:rPr>
            </w:pPr>
            <w:r>
              <w:rPr>
                <w:rFonts w:hint="eastAsia" w:ascii="仿宋_GB2312" w:eastAsia="仿宋_GB2312"/>
                <w:kern w:val="0"/>
                <w:sz w:val="24"/>
              </w:rPr>
              <w:t>(三)活动   开展好</w:t>
            </w:r>
          </w:p>
        </w:tc>
        <w:tc>
          <w:tcPr>
            <w:tcW w:w="5811" w:type="dxa"/>
            <w:tcBorders>
              <w:top w:val="nil"/>
              <w:left w:val="nil"/>
              <w:bottom w:val="nil"/>
              <w:right w:val="nil"/>
            </w:tcBorders>
            <w:vAlign w:val="center"/>
          </w:tcPr>
          <w:p>
            <w:pPr>
              <w:widowControl/>
              <w:spacing w:line="280" w:lineRule="exact"/>
              <w:jc w:val="left"/>
              <w:rPr>
                <w:rFonts w:hint="eastAsia" w:ascii="仿宋_GB2312" w:eastAsia="仿宋_GB2312"/>
                <w:kern w:val="0"/>
                <w:sz w:val="24"/>
              </w:rPr>
            </w:pPr>
            <w:r>
              <w:rPr>
                <w:rFonts w:hint="eastAsia" w:ascii="仿宋_GB2312" w:eastAsia="仿宋_GB2312"/>
                <w:kern w:val="0"/>
                <w:sz w:val="24"/>
              </w:rPr>
              <w:t>积极动员和组织职工围绕本单位工作，开展合理化建议、工作竞赛和工作创新活动，做到有领导、有目标、有检查、有评比、有奖励，发动面达80%以上(5分)；有职工活动场所和宣传阵地。积极开展文体兴趣小组活动，每年至少有一场全员参与的文体活动(5分)。</w:t>
            </w:r>
          </w:p>
        </w:tc>
        <w:tc>
          <w:tcPr>
            <w:tcW w:w="501"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10</w:t>
            </w:r>
          </w:p>
        </w:tc>
        <w:tc>
          <w:tcPr>
            <w:tcW w:w="518" w:type="dxa"/>
            <w:tcBorders>
              <w:top w:val="nil"/>
              <w:left w:val="nil"/>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c>
          <w:tcPr>
            <w:tcW w:w="671" w:type="dxa"/>
            <w:tcBorders>
              <w:top w:val="nil"/>
              <w:left w:val="nil"/>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c>
          <w:tcPr>
            <w:tcW w:w="803"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r>
      <w:tr>
        <w:tblPrEx>
          <w:tblLayout w:type="fixed"/>
          <w:tblCellMar>
            <w:top w:w="0" w:type="dxa"/>
            <w:left w:w="108" w:type="dxa"/>
            <w:bottom w:w="0" w:type="dxa"/>
            <w:right w:w="108" w:type="dxa"/>
          </w:tblCellMar>
        </w:tblPrEx>
        <w:trPr>
          <w:trHeight w:val="1011" w:hRule="atLeast"/>
        </w:trPr>
        <w:tc>
          <w:tcPr>
            <w:tcW w:w="836"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eastAsia" w:ascii="仿宋_GB2312" w:eastAsia="仿宋_GB2312"/>
                <w:kern w:val="0"/>
                <w:sz w:val="24"/>
              </w:rPr>
            </w:pPr>
          </w:p>
        </w:tc>
        <w:tc>
          <w:tcPr>
            <w:tcW w:w="5811" w:type="dxa"/>
            <w:tcBorders>
              <w:top w:val="single" w:color="auto" w:sz="4" w:space="0"/>
              <w:left w:val="nil"/>
              <w:bottom w:val="single" w:color="auto" w:sz="4" w:space="0"/>
              <w:right w:val="single" w:color="auto" w:sz="4" w:space="0"/>
            </w:tcBorders>
            <w:vAlign w:val="center"/>
          </w:tcPr>
          <w:p>
            <w:pPr>
              <w:widowControl/>
              <w:spacing w:line="280" w:lineRule="exact"/>
              <w:jc w:val="left"/>
              <w:rPr>
                <w:rFonts w:hint="eastAsia" w:ascii="仿宋_GB2312" w:eastAsia="仿宋_GB2312"/>
                <w:kern w:val="0"/>
                <w:sz w:val="24"/>
              </w:rPr>
            </w:pPr>
            <w:r>
              <w:rPr>
                <w:rFonts w:hint="eastAsia" w:ascii="仿宋_GB2312" w:eastAsia="仿宋_GB2312"/>
                <w:kern w:val="0"/>
                <w:sz w:val="24"/>
              </w:rPr>
              <w:t>积极开展创建学习型组织活动，努力提高职工整体素质。行政重视支持职工技术业务和科学文化教育，工会配合行政做好职工技术、业务和科学文化培训工作，鼓励职工自学成才，并建立相关的工作机制和制度。</w:t>
            </w:r>
          </w:p>
        </w:tc>
        <w:tc>
          <w:tcPr>
            <w:tcW w:w="501" w:type="dxa"/>
            <w:tcBorders>
              <w:top w:val="nil"/>
              <w:left w:val="nil"/>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10</w:t>
            </w:r>
          </w:p>
        </w:tc>
        <w:tc>
          <w:tcPr>
            <w:tcW w:w="518" w:type="dxa"/>
            <w:tcBorders>
              <w:top w:val="nil"/>
              <w:left w:val="nil"/>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c>
          <w:tcPr>
            <w:tcW w:w="671" w:type="dxa"/>
            <w:tcBorders>
              <w:top w:val="nil"/>
              <w:left w:val="nil"/>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c>
          <w:tcPr>
            <w:tcW w:w="803"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r>
      <w:tr>
        <w:tblPrEx>
          <w:tblLayout w:type="fixed"/>
          <w:tblCellMar>
            <w:top w:w="0" w:type="dxa"/>
            <w:left w:w="108" w:type="dxa"/>
            <w:bottom w:w="0" w:type="dxa"/>
            <w:right w:w="108" w:type="dxa"/>
          </w:tblCellMar>
        </w:tblPrEx>
        <w:trPr>
          <w:trHeight w:val="975" w:hRule="atLeast"/>
        </w:trPr>
        <w:tc>
          <w:tcPr>
            <w:tcW w:w="83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eastAsia="仿宋_GB2312"/>
                <w:kern w:val="0"/>
                <w:sz w:val="24"/>
              </w:rPr>
            </w:pPr>
            <w:r>
              <w:rPr>
                <w:rFonts w:hint="eastAsia" w:ascii="仿宋_GB2312" w:eastAsia="仿宋_GB2312"/>
                <w:kern w:val="0"/>
                <w:sz w:val="24"/>
              </w:rPr>
              <w:t>(四)工作完成好</w:t>
            </w:r>
          </w:p>
        </w:tc>
        <w:tc>
          <w:tcPr>
            <w:tcW w:w="5811" w:type="dxa"/>
            <w:tcBorders>
              <w:top w:val="single" w:color="auto" w:sz="4" w:space="0"/>
              <w:left w:val="single" w:color="000000" w:sz="4" w:space="0"/>
              <w:bottom w:val="single" w:color="auto" w:sz="4" w:space="0"/>
              <w:right w:val="single" w:color="auto" w:sz="4" w:space="0"/>
            </w:tcBorders>
            <w:vAlign w:val="center"/>
          </w:tcPr>
          <w:p>
            <w:pPr>
              <w:widowControl/>
              <w:spacing w:line="360" w:lineRule="exact"/>
              <w:jc w:val="left"/>
              <w:rPr>
                <w:rFonts w:hint="eastAsia" w:ascii="仿宋_GB2312" w:eastAsia="仿宋_GB2312"/>
                <w:kern w:val="0"/>
                <w:sz w:val="24"/>
              </w:rPr>
            </w:pPr>
            <w:r>
              <w:rPr>
                <w:rFonts w:hint="eastAsia" w:ascii="仿宋_GB2312" w:eastAsia="仿宋_GB2312"/>
                <w:kern w:val="0"/>
                <w:sz w:val="24"/>
              </w:rPr>
              <w:t>参加市总职工医疗互助保障（未全员参保的按未保比例相应扣分）（5分）；为会员办理工会会员服务卡（未全员办卡的按未办比例相应扣分）（5分）。</w:t>
            </w:r>
          </w:p>
        </w:tc>
        <w:tc>
          <w:tcPr>
            <w:tcW w:w="501"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10</w:t>
            </w:r>
          </w:p>
        </w:tc>
        <w:tc>
          <w:tcPr>
            <w:tcW w:w="518"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c>
          <w:tcPr>
            <w:tcW w:w="671"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c>
          <w:tcPr>
            <w:tcW w:w="8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r>
      <w:tr>
        <w:tblPrEx>
          <w:tblLayout w:type="fixed"/>
          <w:tblCellMar>
            <w:top w:w="0" w:type="dxa"/>
            <w:left w:w="108" w:type="dxa"/>
            <w:bottom w:w="0" w:type="dxa"/>
            <w:right w:w="108" w:type="dxa"/>
          </w:tblCellMar>
        </w:tblPrEx>
        <w:trPr>
          <w:trHeight w:val="1619" w:hRule="atLeast"/>
        </w:trPr>
        <w:tc>
          <w:tcPr>
            <w:tcW w:w="836" w:type="dxa"/>
            <w:vMerge w:val="continue"/>
            <w:tcBorders>
              <w:top w:val="nil"/>
              <w:left w:val="single" w:color="000000" w:sz="4" w:space="0"/>
              <w:bottom w:val="single" w:color="000000" w:sz="4" w:space="0"/>
              <w:right w:val="single" w:color="000000" w:sz="4" w:space="0"/>
            </w:tcBorders>
            <w:vAlign w:val="center"/>
          </w:tcPr>
          <w:p>
            <w:pPr>
              <w:widowControl/>
              <w:spacing w:line="360" w:lineRule="exact"/>
              <w:jc w:val="left"/>
              <w:rPr>
                <w:rFonts w:hint="eastAsia" w:ascii="仿宋_GB2312" w:eastAsia="仿宋_GB2312"/>
                <w:kern w:val="0"/>
                <w:sz w:val="24"/>
              </w:rPr>
            </w:pPr>
          </w:p>
        </w:tc>
        <w:tc>
          <w:tcPr>
            <w:tcW w:w="5811" w:type="dxa"/>
            <w:tcBorders>
              <w:top w:val="nil"/>
              <w:left w:val="single" w:color="000000" w:sz="4" w:space="0"/>
              <w:bottom w:val="single" w:color="auto" w:sz="4" w:space="0"/>
              <w:right w:val="single" w:color="auto" w:sz="4" w:space="0"/>
            </w:tcBorders>
            <w:vAlign w:val="center"/>
          </w:tcPr>
          <w:p>
            <w:pPr>
              <w:widowControl/>
              <w:spacing w:line="360" w:lineRule="exact"/>
              <w:jc w:val="left"/>
              <w:rPr>
                <w:rFonts w:hint="eastAsia" w:ascii="仿宋_GB2312" w:eastAsia="仿宋_GB2312"/>
                <w:kern w:val="0"/>
                <w:sz w:val="24"/>
              </w:rPr>
            </w:pPr>
            <w:r>
              <w:rPr>
                <w:rFonts w:hint="eastAsia" w:ascii="仿宋_GB2312" w:eastAsia="仿宋_GB2312"/>
                <w:kern w:val="0"/>
                <w:sz w:val="24"/>
              </w:rPr>
              <w:t>开展“双亮”（即工会组织亮牌子、工会主席亮身份），实行会务公开，落实会员四权(会员的知情权、参与权、选举权、监督权)（5分）；按要求订阅《工人日报》、《生活创造》或全总相关工会报刊（2分）；按要求完成市总各项年度统计报表（3分）。</w:t>
            </w:r>
          </w:p>
        </w:tc>
        <w:tc>
          <w:tcPr>
            <w:tcW w:w="501" w:type="dxa"/>
            <w:tcBorders>
              <w:top w:val="nil"/>
              <w:left w:val="nil"/>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10</w:t>
            </w:r>
          </w:p>
        </w:tc>
        <w:tc>
          <w:tcPr>
            <w:tcW w:w="518" w:type="dxa"/>
            <w:tcBorders>
              <w:top w:val="nil"/>
              <w:left w:val="nil"/>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c>
          <w:tcPr>
            <w:tcW w:w="671" w:type="dxa"/>
            <w:tcBorders>
              <w:top w:val="nil"/>
              <w:left w:val="nil"/>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c>
          <w:tcPr>
            <w:tcW w:w="803"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r>
      <w:tr>
        <w:tblPrEx>
          <w:tblLayout w:type="fixed"/>
          <w:tblCellMar>
            <w:top w:w="0" w:type="dxa"/>
            <w:left w:w="108" w:type="dxa"/>
            <w:bottom w:w="0" w:type="dxa"/>
            <w:right w:w="108" w:type="dxa"/>
          </w:tblCellMar>
        </w:tblPrEx>
        <w:trPr>
          <w:trHeight w:val="653" w:hRule="atLeast"/>
        </w:trPr>
        <w:tc>
          <w:tcPr>
            <w:tcW w:w="836" w:type="dxa"/>
            <w:vMerge w:val="continue"/>
            <w:tcBorders>
              <w:top w:val="nil"/>
              <w:left w:val="single" w:color="000000" w:sz="4" w:space="0"/>
              <w:bottom w:val="single" w:color="000000" w:sz="4" w:space="0"/>
              <w:right w:val="single" w:color="000000" w:sz="4" w:space="0"/>
            </w:tcBorders>
            <w:vAlign w:val="center"/>
          </w:tcPr>
          <w:p>
            <w:pPr>
              <w:widowControl/>
              <w:spacing w:line="360" w:lineRule="exact"/>
              <w:jc w:val="left"/>
              <w:rPr>
                <w:rFonts w:hint="eastAsia" w:ascii="仿宋_GB2312" w:eastAsia="仿宋_GB2312"/>
                <w:kern w:val="0"/>
                <w:sz w:val="24"/>
              </w:rPr>
            </w:pPr>
          </w:p>
        </w:tc>
        <w:tc>
          <w:tcPr>
            <w:tcW w:w="5811" w:type="dxa"/>
            <w:tcBorders>
              <w:top w:val="nil"/>
              <w:left w:val="single" w:color="000000" w:sz="4" w:space="0"/>
              <w:bottom w:val="single" w:color="auto" w:sz="4" w:space="0"/>
              <w:right w:val="single" w:color="auto" w:sz="4" w:space="0"/>
            </w:tcBorders>
            <w:vAlign w:val="top"/>
          </w:tcPr>
          <w:p>
            <w:pPr>
              <w:widowControl/>
              <w:spacing w:line="360" w:lineRule="exact"/>
              <w:rPr>
                <w:rFonts w:hint="eastAsia" w:ascii="仿宋_GB2312" w:eastAsia="仿宋_GB2312"/>
                <w:kern w:val="0"/>
                <w:sz w:val="24"/>
              </w:rPr>
            </w:pPr>
            <w:r>
              <w:rPr>
                <w:rFonts w:hint="eastAsia" w:ascii="仿宋_GB2312" w:eastAsia="仿宋_GB2312"/>
                <w:kern w:val="0"/>
                <w:sz w:val="24"/>
              </w:rPr>
              <w:t>认真贯彻落实上级工会布置的其他工作任务和要求。(区总工会、产业工会自行设定内容)</w:t>
            </w:r>
          </w:p>
        </w:tc>
        <w:tc>
          <w:tcPr>
            <w:tcW w:w="501" w:type="dxa"/>
            <w:tcBorders>
              <w:top w:val="nil"/>
              <w:left w:val="nil"/>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10</w:t>
            </w:r>
          </w:p>
        </w:tc>
        <w:tc>
          <w:tcPr>
            <w:tcW w:w="518" w:type="dxa"/>
            <w:tcBorders>
              <w:top w:val="nil"/>
              <w:left w:val="nil"/>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c>
          <w:tcPr>
            <w:tcW w:w="671" w:type="dxa"/>
            <w:tcBorders>
              <w:top w:val="nil"/>
              <w:left w:val="nil"/>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c>
          <w:tcPr>
            <w:tcW w:w="803"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r>
      <w:tr>
        <w:tblPrEx>
          <w:tblLayout w:type="fixed"/>
          <w:tblCellMar>
            <w:top w:w="0" w:type="dxa"/>
            <w:left w:w="108" w:type="dxa"/>
            <w:bottom w:w="0" w:type="dxa"/>
            <w:right w:w="108" w:type="dxa"/>
          </w:tblCellMar>
        </w:tblPrEx>
        <w:trPr>
          <w:trHeight w:val="1798" w:hRule="atLeast"/>
        </w:trPr>
        <w:tc>
          <w:tcPr>
            <w:tcW w:w="836" w:type="dxa"/>
            <w:vMerge w:val="restart"/>
            <w:tcBorders>
              <w:top w:val="single" w:color="auto" w:sz="4" w:space="0"/>
              <w:left w:val="single" w:color="auto" w:sz="4" w:space="0"/>
              <w:bottom w:val="nil"/>
              <w:right w:val="single" w:color="auto" w:sz="4" w:space="0"/>
            </w:tcBorders>
            <w:vAlign w:val="center"/>
          </w:tcPr>
          <w:p>
            <w:pPr>
              <w:widowControl/>
              <w:spacing w:line="360" w:lineRule="exact"/>
              <w:jc w:val="center"/>
              <w:rPr>
                <w:rFonts w:hint="eastAsia" w:ascii="仿宋_GB2312" w:eastAsia="仿宋_GB2312"/>
                <w:kern w:val="0"/>
                <w:sz w:val="24"/>
              </w:rPr>
            </w:pPr>
            <w:r>
              <w:rPr>
                <w:rFonts w:hint="eastAsia" w:ascii="仿宋_GB2312" w:eastAsia="仿宋_GB2312"/>
                <w:kern w:val="0"/>
                <w:sz w:val="24"/>
              </w:rPr>
              <w:t>(五)     加分　　工作</w:t>
            </w:r>
          </w:p>
        </w:tc>
        <w:tc>
          <w:tcPr>
            <w:tcW w:w="5811"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仿宋_GB2312" w:eastAsia="仿宋_GB2312"/>
                <w:kern w:val="0"/>
                <w:sz w:val="24"/>
              </w:rPr>
            </w:pPr>
            <w:r>
              <w:rPr>
                <w:rFonts w:hint="eastAsia" w:ascii="仿宋_GB2312" w:eastAsia="仿宋_GB2312"/>
                <w:kern w:val="0"/>
                <w:sz w:val="24"/>
              </w:rPr>
              <w:t>有计划地在工会分会、小组（部门、科室）中开展建设职工小家活动，成效明显（3分）；</w:t>
            </w:r>
            <w:r>
              <w:rPr>
                <w:rFonts w:hint="eastAsia" w:ascii="仿宋_GB2312" w:eastAsia="仿宋_GB2312"/>
                <w:sz w:val="24"/>
              </w:rPr>
              <w:t>工会主席、副主席和工会专职干部到岗一年内完成上岗资格培训及适应性岗位培训(2分)。工会劳动法律监督员到岗一年内参训获得证书（2分）</w:t>
            </w:r>
          </w:p>
        </w:tc>
        <w:tc>
          <w:tcPr>
            <w:tcW w:w="501" w:type="dxa"/>
            <w:tcBorders>
              <w:top w:val="single" w:color="auto" w:sz="4" w:space="0"/>
              <w:left w:val="nil"/>
              <w:bottom w:val="single" w:color="auto" w:sz="4" w:space="0"/>
              <w:right w:val="single" w:color="auto" w:sz="4" w:space="0"/>
            </w:tcBorders>
            <w:vAlign w:val="center"/>
          </w:tcPr>
          <w:p>
            <w:pPr>
              <w:widowControl/>
              <w:spacing w:line="400" w:lineRule="exact"/>
              <w:ind w:left="-288" w:leftChars="-137" w:firstLine="218" w:firstLineChars="91"/>
              <w:jc w:val="center"/>
              <w:rPr>
                <w:rFonts w:eastAsia="仿宋_GB2312"/>
                <w:kern w:val="0"/>
                <w:sz w:val="24"/>
              </w:rPr>
            </w:pPr>
            <w:r>
              <w:rPr>
                <w:rFonts w:hint="eastAsia" w:eastAsia="仿宋_GB2312"/>
                <w:kern w:val="0"/>
                <w:sz w:val="24"/>
              </w:rPr>
              <w:t>7</w:t>
            </w:r>
          </w:p>
        </w:tc>
        <w:tc>
          <w:tcPr>
            <w:tcW w:w="51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仿宋_GB2312" w:eastAsia="仿宋_GB2312"/>
                <w:kern w:val="0"/>
                <w:sz w:val="24"/>
              </w:rPr>
            </w:pPr>
            <w:r>
              <w:rPr>
                <w:rFonts w:hint="eastAsia" w:ascii="仿宋_GB2312" w:eastAsia="仿宋_GB2312"/>
                <w:kern w:val="0"/>
                <w:sz w:val="24"/>
              </w:rPr>
              <w:t>　</w:t>
            </w:r>
          </w:p>
        </w:tc>
        <w:tc>
          <w:tcPr>
            <w:tcW w:w="67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仿宋_GB2312" w:eastAsia="仿宋_GB2312"/>
                <w:kern w:val="0"/>
                <w:sz w:val="24"/>
              </w:rPr>
            </w:pPr>
            <w:r>
              <w:rPr>
                <w:rFonts w:hint="eastAsia" w:ascii="仿宋_GB2312" w:eastAsia="仿宋_GB2312"/>
                <w:kern w:val="0"/>
                <w:sz w:val="24"/>
              </w:rPr>
              <w:t>　</w:t>
            </w:r>
          </w:p>
        </w:tc>
        <w:tc>
          <w:tcPr>
            <w:tcW w:w="80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eastAsia="仿宋_GB2312"/>
                <w:kern w:val="0"/>
                <w:sz w:val="24"/>
              </w:rPr>
            </w:pPr>
            <w:r>
              <w:rPr>
                <w:rFonts w:hint="eastAsia" w:ascii="仿宋_GB2312" w:eastAsia="仿宋_GB2312"/>
                <w:kern w:val="0"/>
                <w:sz w:val="24"/>
              </w:rPr>
              <w:t>　</w:t>
            </w:r>
          </w:p>
        </w:tc>
      </w:tr>
      <w:tr>
        <w:tblPrEx>
          <w:tblLayout w:type="fixed"/>
          <w:tblCellMar>
            <w:top w:w="0" w:type="dxa"/>
            <w:left w:w="108" w:type="dxa"/>
            <w:bottom w:w="0" w:type="dxa"/>
            <w:right w:w="108" w:type="dxa"/>
          </w:tblCellMar>
        </w:tblPrEx>
        <w:trPr>
          <w:trHeight w:val="725" w:hRule="atLeast"/>
        </w:trPr>
        <w:tc>
          <w:tcPr>
            <w:tcW w:w="836" w:type="dxa"/>
            <w:vMerge w:val="continue"/>
            <w:tcBorders>
              <w:top w:val="nil"/>
              <w:left w:val="single" w:color="auto" w:sz="4" w:space="0"/>
              <w:bottom w:val="nil"/>
              <w:right w:val="single" w:color="auto" w:sz="4" w:space="0"/>
            </w:tcBorders>
            <w:vAlign w:val="center"/>
          </w:tcPr>
          <w:p>
            <w:pPr>
              <w:widowControl/>
              <w:spacing w:line="360" w:lineRule="exact"/>
              <w:jc w:val="left"/>
              <w:rPr>
                <w:rFonts w:hint="eastAsia" w:ascii="仿宋_GB2312" w:eastAsia="仿宋_GB2312"/>
                <w:bCs/>
                <w:kern w:val="0"/>
                <w:sz w:val="24"/>
              </w:rPr>
            </w:pPr>
          </w:p>
        </w:tc>
        <w:tc>
          <w:tcPr>
            <w:tcW w:w="5811"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eastAsia="仿宋_GB2312"/>
                <w:kern w:val="0"/>
                <w:sz w:val="24"/>
              </w:rPr>
            </w:pPr>
            <w:r>
              <w:rPr>
                <w:rFonts w:hint="eastAsia" w:ascii="仿宋_GB2312" w:eastAsia="仿宋_GB2312"/>
                <w:kern w:val="0"/>
                <w:sz w:val="24"/>
              </w:rPr>
              <w:t>参与共享职工之家共建职工书屋、社区书院共建职工书屋或开展职工书屋建设和其他职工文化建设活动。</w:t>
            </w:r>
          </w:p>
        </w:tc>
        <w:tc>
          <w:tcPr>
            <w:tcW w:w="501" w:type="dxa"/>
            <w:tcBorders>
              <w:top w:val="nil"/>
              <w:left w:val="nil"/>
              <w:bottom w:val="single" w:color="auto" w:sz="4" w:space="0"/>
              <w:right w:val="single" w:color="auto" w:sz="4" w:space="0"/>
            </w:tcBorders>
            <w:vAlign w:val="center"/>
          </w:tcPr>
          <w:p>
            <w:pPr>
              <w:widowControl/>
              <w:spacing w:line="400" w:lineRule="exact"/>
              <w:jc w:val="center"/>
              <w:rPr>
                <w:rFonts w:eastAsia="仿宋_GB2312"/>
                <w:kern w:val="0"/>
                <w:sz w:val="24"/>
              </w:rPr>
            </w:pPr>
            <w:r>
              <w:rPr>
                <w:rFonts w:eastAsia="仿宋_GB2312"/>
                <w:kern w:val="0"/>
                <w:sz w:val="24"/>
              </w:rPr>
              <w:t>5</w:t>
            </w:r>
          </w:p>
        </w:tc>
        <w:tc>
          <w:tcPr>
            <w:tcW w:w="518"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eastAsia="仿宋_GB2312"/>
                <w:kern w:val="0"/>
                <w:sz w:val="24"/>
              </w:rPr>
            </w:pPr>
            <w:r>
              <w:rPr>
                <w:rFonts w:hint="eastAsia" w:ascii="仿宋_GB2312" w:eastAsia="仿宋_GB2312"/>
                <w:kern w:val="0"/>
                <w:sz w:val="24"/>
              </w:rPr>
              <w:t>　</w:t>
            </w:r>
          </w:p>
        </w:tc>
        <w:tc>
          <w:tcPr>
            <w:tcW w:w="671"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eastAsia="仿宋_GB2312"/>
                <w:kern w:val="0"/>
                <w:sz w:val="24"/>
              </w:rPr>
            </w:pPr>
            <w:r>
              <w:rPr>
                <w:rFonts w:hint="eastAsia" w:ascii="仿宋_GB2312" w:eastAsia="仿宋_GB2312"/>
                <w:kern w:val="0"/>
                <w:sz w:val="24"/>
              </w:rPr>
              <w:t>　</w:t>
            </w:r>
          </w:p>
        </w:tc>
        <w:tc>
          <w:tcPr>
            <w:tcW w:w="80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eastAsia="仿宋_GB2312"/>
                <w:kern w:val="0"/>
                <w:sz w:val="24"/>
              </w:rPr>
            </w:pPr>
            <w:r>
              <w:rPr>
                <w:rFonts w:hint="eastAsia" w:ascii="仿宋_GB2312" w:eastAsia="仿宋_GB2312"/>
                <w:kern w:val="0"/>
                <w:sz w:val="24"/>
              </w:rPr>
              <w:t>　</w:t>
            </w:r>
          </w:p>
        </w:tc>
      </w:tr>
      <w:tr>
        <w:tblPrEx>
          <w:tblLayout w:type="fixed"/>
          <w:tblCellMar>
            <w:top w:w="0" w:type="dxa"/>
            <w:left w:w="108" w:type="dxa"/>
            <w:bottom w:w="0" w:type="dxa"/>
            <w:right w:w="108" w:type="dxa"/>
          </w:tblCellMar>
        </w:tblPrEx>
        <w:trPr>
          <w:trHeight w:val="975" w:hRule="atLeast"/>
        </w:trPr>
        <w:tc>
          <w:tcPr>
            <w:tcW w:w="836" w:type="dxa"/>
            <w:vMerge w:val="continue"/>
            <w:tcBorders>
              <w:top w:val="nil"/>
              <w:left w:val="single" w:color="auto" w:sz="4" w:space="0"/>
              <w:bottom w:val="nil"/>
              <w:right w:val="single" w:color="auto" w:sz="4" w:space="0"/>
            </w:tcBorders>
            <w:vAlign w:val="center"/>
          </w:tcPr>
          <w:p>
            <w:pPr>
              <w:widowControl/>
              <w:spacing w:line="360" w:lineRule="exact"/>
              <w:jc w:val="left"/>
              <w:rPr>
                <w:rFonts w:hint="eastAsia" w:ascii="仿宋_GB2312" w:eastAsia="仿宋_GB2312"/>
                <w:bCs/>
                <w:kern w:val="0"/>
                <w:sz w:val="24"/>
              </w:rPr>
            </w:pPr>
          </w:p>
        </w:tc>
        <w:tc>
          <w:tcPr>
            <w:tcW w:w="5811"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_GB2312" w:eastAsia="仿宋_GB2312"/>
                <w:kern w:val="0"/>
                <w:sz w:val="24"/>
              </w:rPr>
            </w:pPr>
            <w:r>
              <w:rPr>
                <w:rFonts w:hint="eastAsia" w:ascii="仿宋_GB2312" w:eastAsia="仿宋_GB2312"/>
                <w:kern w:val="0"/>
                <w:sz w:val="24"/>
              </w:rPr>
              <w:t>有签订或参与行业性签订补充工伤、或补充医疗、或补充养老及或职工福利、或教育培训、或休息休假等其他专项集体合同（加3分）。</w:t>
            </w:r>
          </w:p>
        </w:tc>
        <w:tc>
          <w:tcPr>
            <w:tcW w:w="50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eastAsia="仿宋_GB2312"/>
                <w:kern w:val="0"/>
                <w:sz w:val="24"/>
              </w:rPr>
            </w:pPr>
            <w:r>
              <w:rPr>
                <w:rFonts w:hint="eastAsia" w:eastAsia="仿宋_GB2312"/>
                <w:kern w:val="0"/>
                <w:sz w:val="24"/>
              </w:rPr>
              <w:t>3</w:t>
            </w:r>
          </w:p>
        </w:tc>
        <w:tc>
          <w:tcPr>
            <w:tcW w:w="51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仿宋_GB2312" w:eastAsia="仿宋_GB2312"/>
                <w:kern w:val="0"/>
                <w:sz w:val="24"/>
              </w:rPr>
            </w:pPr>
          </w:p>
        </w:tc>
        <w:tc>
          <w:tcPr>
            <w:tcW w:w="67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仿宋_GB2312" w:eastAsia="仿宋_GB2312"/>
                <w:kern w:val="0"/>
                <w:sz w:val="24"/>
              </w:rPr>
            </w:pPr>
          </w:p>
        </w:tc>
        <w:tc>
          <w:tcPr>
            <w:tcW w:w="80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eastAsia="仿宋_GB2312"/>
                <w:kern w:val="0"/>
                <w:sz w:val="24"/>
              </w:rPr>
            </w:pPr>
          </w:p>
        </w:tc>
      </w:tr>
      <w:tr>
        <w:tblPrEx>
          <w:tblLayout w:type="fixed"/>
          <w:tblCellMar>
            <w:top w:w="0" w:type="dxa"/>
            <w:left w:w="108" w:type="dxa"/>
            <w:bottom w:w="0" w:type="dxa"/>
            <w:right w:w="108" w:type="dxa"/>
          </w:tblCellMar>
        </w:tblPrEx>
        <w:trPr>
          <w:trHeight w:val="725" w:hRule="atLeast"/>
        </w:trPr>
        <w:tc>
          <w:tcPr>
            <w:tcW w:w="836" w:type="dxa"/>
            <w:vMerge w:val="continue"/>
            <w:tcBorders>
              <w:top w:val="nil"/>
              <w:left w:val="single" w:color="auto" w:sz="4" w:space="0"/>
              <w:bottom w:val="nil"/>
              <w:right w:val="single" w:color="auto" w:sz="4" w:space="0"/>
            </w:tcBorders>
            <w:vAlign w:val="center"/>
          </w:tcPr>
          <w:p>
            <w:pPr>
              <w:widowControl/>
              <w:spacing w:line="360" w:lineRule="exact"/>
              <w:jc w:val="left"/>
              <w:rPr>
                <w:rFonts w:hint="eastAsia" w:ascii="仿宋_GB2312" w:eastAsia="仿宋_GB2312"/>
                <w:bCs/>
                <w:kern w:val="0"/>
                <w:sz w:val="24"/>
              </w:rPr>
            </w:pPr>
          </w:p>
        </w:tc>
        <w:tc>
          <w:tcPr>
            <w:tcW w:w="5811"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仿宋_GB2312" w:eastAsia="仿宋_GB2312"/>
                <w:kern w:val="0"/>
                <w:sz w:val="24"/>
              </w:rPr>
            </w:pPr>
            <w:r>
              <w:rPr>
                <w:rFonts w:hint="eastAsia" w:ascii="仿宋_GB2312" w:eastAsia="仿宋_GB2312"/>
                <w:kern w:val="0"/>
                <w:sz w:val="24"/>
              </w:rPr>
              <w:t>工会有示范性、实效性的创新工作或有先进典型，受到上级工会的肯定。</w:t>
            </w:r>
          </w:p>
        </w:tc>
        <w:tc>
          <w:tcPr>
            <w:tcW w:w="50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eastAsia="仿宋_GB2312"/>
                <w:kern w:val="0"/>
                <w:sz w:val="24"/>
              </w:rPr>
            </w:pPr>
            <w:r>
              <w:rPr>
                <w:rFonts w:eastAsia="仿宋_GB2312"/>
                <w:kern w:val="0"/>
                <w:sz w:val="24"/>
              </w:rPr>
              <w:t>5</w:t>
            </w:r>
          </w:p>
        </w:tc>
        <w:tc>
          <w:tcPr>
            <w:tcW w:w="51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仿宋_GB2312" w:eastAsia="仿宋_GB2312"/>
                <w:kern w:val="0"/>
                <w:sz w:val="24"/>
              </w:rPr>
            </w:pPr>
            <w:r>
              <w:rPr>
                <w:rFonts w:hint="eastAsia" w:ascii="仿宋_GB2312" w:eastAsia="仿宋_GB2312"/>
                <w:kern w:val="0"/>
                <w:sz w:val="24"/>
              </w:rPr>
              <w:t>　</w:t>
            </w:r>
          </w:p>
        </w:tc>
        <w:tc>
          <w:tcPr>
            <w:tcW w:w="67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仿宋_GB2312" w:eastAsia="仿宋_GB2312"/>
                <w:kern w:val="0"/>
                <w:sz w:val="24"/>
              </w:rPr>
            </w:pPr>
            <w:r>
              <w:rPr>
                <w:rFonts w:hint="eastAsia" w:ascii="仿宋_GB2312" w:eastAsia="仿宋_GB2312"/>
                <w:kern w:val="0"/>
                <w:sz w:val="24"/>
              </w:rPr>
              <w:t>　</w:t>
            </w:r>
          </w:p>
        </w:tc>
        <w:tc>
          <w:tcPr>
            <w:tcW w:w="80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eastAsia="仿宋_GB2312"/>
                <w:kern w:val="0"/>
                <w:sz w:val="24"/>
              </w:rPr>
            </w:pPr>
            <w:r>
              <w:rPr>
                <w:rFonts w:hint="eastAsia" w:ascii="仿宋_GB2312" w:eastAsia="仿宋_GB2312"/>
                <w:kern w:val="0"/>
                <w:sz w:val="24"/>
              </w:rPr>
              <w:t>　</w:t>
            </w:r>
          </w:p>
          <w:p>
            <w:pPr>
              <w:spacing w:line="400" w:lineRule="exact"/>
              <w:jc w:val="center"/>
              <w:rPr>
                <w:rFonts w:hint="eastAsia" w:ascii="仿宋_GB2312" w:eastAsia="仿宋_GB2312"/>
                <w:kern w:val="0"/>
                <w:sz w:val="24"/>
              </w:rPr>
            </w:pPr>
            <w:r>
              <w:rPr>
                <w:rFonts w:hint="eastAsia" w:ascii="仿宋_GB2312" w:eastAsia="仿宋_GB2312"/>
                <w:kern w:val="0"/>
                <w:sz w:val="24"/>
              </w:rPr>
              <w:t>　</w:t>
            </w:r>
          </w:p>
        </w:tc>
      </w:tr>
      <w:tr>
        <w:tblPrEx>
          <w:tblLayout w:type="fixed"/>
          <w:tblCellMar>
            <w:top w:w="0" w:type="dxa"/>
            <w:left w:w="108" w:type="dxa"/>
            <w:bottom w:w="0" w:type="dxa"/>
            <w:right w:w="108" w:type="dxa"/>
          </w:tblCellMar>
        </w:tblPrEx>
        <w:trPr>
          <w:trHeight w:val="725" w:hRule="atLeast"/>
        </w:trPr>
        <w:tc>
          <w:tcPr>
            <w:tcW w:w="836" w:type="dxa"/>
            <w:vMerge w:val="continue"/>
            <w:tcBorders>
              <w:top w:val="nil"/>
              <w:left w:val="single" w:color="auto" w:sz="4" w:space="0"/>
              <w:bottom w:val="nil"/>
              <w:right w:val="single" w:color="auto" w:sz="4" w:space="0"/>
            </w:tcBorders>
            <w:vAlign w:val="center"/>
          </w:tcPr>
          <w:p>
            <w:pPr>
              <w:widowControl/>
              <w:spacing w:line="360" w:lineRule="exact"/>
              <w:jc w:val="left"/>
              <w:rPr>
                <w:rFonts w:hint="eastAsia" w:ascii="仿宋_GB2312" w:eastAsia="仿宋_GB2312"/>
                <w:bCs/>
                <w:kern w:val="0"/>
                <w:sz w:val="24"/>
              </w:rPr>
            </w:pPr>
          </w:p>
        </w:tc>
        <w:tc>
          <w:tcPr>
            <w:tcW w:w="5811"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仿宋_GB2312" w:eastAsia="仿宋_GB2312"/>
                <w:kern w:val="0"/>
                <w:sz w:val="24"/>
              </w:rPr>
            </w:pPr>
            <w:r>
              <w:rPr>
                <w:rFonts w:hint="eastAsia" w:ascii="仿宋_GB2312" w:eastAsia="仿宋_GB2312"/>
                <w:kern w:val="0"/>
                <w:sz w:val="24"/>
              </w:rPr>
              <w:t>积极宣传本单位工会工作，向市总报送工会工作信息，每月至少一条，本年度在省市总工会刊物上发表文稿</w:t>
            </w:r>
            <w:r>
              <w:rPr>
                <w:rFonts w:hint="eastAsia" w:ascii="仿宋_GB2312" w:eastAsia="仿宋_GB2312"/>
                <w:sz w:val="24"/>
              </w:rPr>
              <w:t>。</w:t>
            </w:r>
          </w:p>
        </w:tc>
        <w:tc>
          <w:tcPr>
            <w:tcW w:w="50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eastAsia="仿宋_GB2312"/>
                <w:kern w:val="0"/>
                <w:sz w:val="24"/>
              </w:rPr>
            </w:pPr>
            <w:r>
              <w:rPr>
                <w:rFonts w:eastAsia="仿宋_GB2312"/>
                <w:kern w:val="0"/>
                <w:sz w:val="24"/>
              </w:rPr>
              <w:t>5</w:t>
            </w:r>
          </w:p>
        </w:tc>
        <w:tc>
          <w:tcPr>
            <w:tcW w:w="51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仿宋_GB2312" w:eastAsia="仿宋_GB2312"/>
                <w:kern w:val="0"/>
                <w:sz w:val="24"/>
              </w:rPr>
            </w:pPr>
            <w:r>
              <w:rPr>
                <w:rFonts w:hint="eastAsia" w:ascii="仿宋_GB2312" w:eastAsia="仿宋_GB2312"/>
                <w:kern w:val="0"/>
                <w:sz w:val="24"/>
              </w:rPr>
              <w:t>　</w:t>
            </w:r>
          </w:p>
        </w:tc>
        <w:tc>
          <w:tcPr>
            <w:tcW w:w="67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仿宋_GB2312" w:eastAsia="仿宋_GB2312"/>
                <w:kern w:val="0"/>
                <w:sz w:val="24"/>
              </w:rPr>
            </w:pPr>
            <w:r>
              <w:rPr>
                <w:rFonts w:hint="eastAsia" w:ascii="仿宋_GB2312" w:eastAsia="仿宋_GB2312"/>
                <w:kern w:val="0"/>
                <w:sz w:val="24"/>
              </w:rPr>
              <w:t>　</w:t>
            </w:r>
          </w:p>
        </w:tc>
        <w:tc>
          <w:tcPr>
            <w:tcW w:w="80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eastAsia="仿宋_GB2312"/>
                <w:kern w:val="0"/>
                <w:sz w:val="24"/>
              </w:rPr>
            </w:pPr>
            <w:r>
              <w:rPr>
                <w:rFonts w:hint="eastAsia" w:ascii="仿宋_GB2312" w:eastAsia="仿宋_GB2312"/>
                <w:kern w:val="0"/>
                <w:sz w:val="24"/>
              </w:rPr>
              <w:t>　</w:t>
            </w:r>
          </w:p>
        </w:tc>
      </w:tr>
      <w:tr>
        <w:tblPrEx>
          <w:tblLayout w:type="fixed"/>
          <w:tblCellMar>
            <w:top w:w="0" w:type="dxa"/>
            <w:left w:w="108" w:type="dxa"/>
            <w:bottom w:w="0" w:type="dxa"/>
            <w:right w:w="108" w:type="dxa"/>
          </w:tblCellMar>
        </w:tblPrEx>
        <w:trPr>
          <w:trHeight w:val="725" w:hRule="atLeast"/>
        </w:trPr>
        <w:tc>
          <w:tcPr>
            <w:tcW w:w="836" w:type="dxa"/>
            <w:tcBorders>
              <w:top w:val="single" w:color="auto" w:sz="4" w:space="0"/>
              <w:left w:val="single" w:color="auto" w:sz="4" w:space="0"/>
              <w:bottom w:val="single" w:color="auto" w:sz="4" w:space="0"/>
              <w:right w:val="nil"/>
            </w:tcBorders>
            <w:vAlign w:val="center"/>
          </w:tcPr>
          <w:p>
            <w:pPr>
              <w:widowControl/>
              <w:spacing w:line="300" w:lineRule="exact"/>
              <w:jc w:val="center"/>
              <w:rPr>
                <w:rFonts w:hint="eastAsia" w:ascii="仿宋_GB2312" w:eastAsia="仿宋_GB2312"/>
                <w:bCs/>
                <w:kern w:val="0"/>
                <w:sz w:val="24"/>
              </w:rPr>
            </w:pPr>
            <w:r>
              <w:rPr>
                <w:rFonts w:hint="eastAsia" w:ascii="仿宋_GB2312" w:eastAsia="仿宋_GB2312"/>
                <w:kern w:val="0"/>
                <w:sz w:val="24"/>
              </w:rPr>
              <w:t>考评 总分</w:t>
            </w:r>
          </w:p>
        </w:tc>
        <w:tc>
          <w:tcPr>
            <w:tcW w:w="5811" w:type="dxa"/>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仿宋_GB2312" w:eastAsia="仿宋_GB2312"/>
                <w:kern w:val="0"/>
                <w:sz w:val="24"/>
              </w:rPr>
            </w:pPr>
            <w:r>
              <w:rPr>
                <w:rFonts w:hint="eastAsia" w:ascii="仿宋_GB2312" w:eastAsia="仿宋_GB2312"/>
                <w:kern w:val="0"/>
                <w:sz w:val="24"/>
              </w:rPr>
              <w:t>达标需80分以上，创优需90分以上具备参评资格。</w:t>
            </w:r>
          </w:p>
        </w:tc>
        <w:tc>
          <w:tcPr>
            <w:tcW w:w="501" w:type="dxa"/>
            <w:tcBorders>
              <w:top w:val="nil"/>
              <w:left w:val="nil"/>
              <w:bottom w:val="single" w:color="auto" w:sz="4" w:space="0"/>
              <w:right w:val="single" w:color="auto" w:sz="4" w:space="0"/>
            </w:tcBorders>
            <w:vAlign w:val="center"/>
          </w:tcPr>
          <w:p>
            <w:pPr>
              <w:widowControl/>
              <w:spacing w:line="400" w:lineRule="exact"/>
              <w:jc w:val="center"/>
              <w:rPr>
                <w:rFonts w:eastAsia="仿宋_GB2312"/>
                <w:bCs/>
                <w:spacing w:val="-20"/>
                <w:w w:val="80"/>
                <w:kern w:val="0"/>
                <w:sz w:val="24"/>
              </w:rPr>
            </w:pPr>
            <w:r>
              <w:rPr>
                <w:rFonts w:eastAsia="仿宋_GB2312"/>
                <w:bCs/>
                <w:spacing w:val="-20"/>
                <w:w w:val="80"/>
                <w:kern w:val="0"/>
                <w:sz w:val="24"/>
              </w:rPr>
              <w:t>12</w:t>
            </w:r>
            <w:r>
              <w:rPr>
                <w:rFonts w:hint="eastAsia" w:eastAsia="仿宋_GB2312"/>
                <w:bCs/>
                <w:spacing w:val="-20"/>
                <w:w w:val="80"/>
                <w:kern w:val="0"/>
                <w:sz w:val="24"/>
              </w:rPr>
              <w:t>5</w:t>
            </w:r>
          </w:p>
        </w:tc>
        <w:tc>
          <w:tcPr>
            <w:tcW w:w="518"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eastAsia="仿宋_GB2312"/>
                <w:kern w:val="0"/>
                <w:sz w:val="24"/>
              </w:rPr>
            </w:pPr>
            <w:r>
              <w:rPr>
                <w:rFonts w:hint="eastAsia" w:ascii="仿宋_GB2312" w:eastAsia="仿宋_GB2312"/>
                <w:kern w:val="0"/>
                <w:sz w:val="24"/>
              </w:rPr>
              <w:t>　</w:t>
            </w:r>
          </w:p>
        </w:tc>
        <w:tc>
          <w:tcPr>
            <w:tcW w:w="671"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eastAsia="仿宋_GB2312"/>
                <w:kern w:val="0"/>
                <w:sz w:val="24"/>
              </w:rPr>
            </w:pPr>
            <w:r>
              <w:rPr>
                <w:rFonts w:hint="eastAsia" w:ascii="仿宋_GB2312" w:eastAsia="仿宋_GB2312"/>
                <w:kern w:val="0"/>
                <w:sz w:val="24"/>
              </w:rPr>
              <w:t>　</w:t>
            </w:r>
          </w:p>
        </w:tc>
        <w:tc>
          <w:tcPr>
            <w:tcW w:w="80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eastAsia="仿宋_GB2312"/>
                <w:kern w:val="0"/>
                <w:sz w:val="24"/>
              </w:rPr>
            </w:pPr>
            <w:r>
              <w:rPr>
                <w:rFonts w:hint="eastAsia" w:ascii="仿宋_GB2312" w:eastAsia="仿宋_GB2312"/>
                <w:kern w:val="0"/>
                <w:sz w:val="24"/>
              </w:rPr>
              <w:t>　</w:t>
            </w:r>
          </w:p>
        </w:tc>
      </w:tr>
      <w:tr>
        <w:tblPrEx>
          <w:tblLayout w:type="fixed"/>
          <w:tblCellMar>
            <w:top w:w="0" w:type="dxa"/>
            <w:left w:w="108" w:type="dxa"/>
            <w:bottom w:w="0" w:type="dxa"/>
            <w:right w:w="108" w:type="dxa"/>
          </w:tblCellMar>
        </w:tblPrEx>
        <w:trPr>
          <w:trHeight w:val="1941" w:hRule="atLeast"/>
        </w:trPr>
        <w:tc>
          <w:tcPr>
            <w:tcW w:w="6647" w:type="dxa"/>
            <w:gridSpan w:val="2"/>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仿宋_GB2312" w:eastAsia="仿宋_GB2312"/>
                <w:kern w:val="0"/>
                <w:sz w:val="24"/>
              </w:rPr>
            </w:pPr>
            <w:r>
              <w:rPr>
                <w:rFonts w:hint="eastAsia" w:ascii="仿宋_GB2312" w:eastAsia="仿宋_GB2312"/>
                <w:kern w:val="0"/>
                <w:sz w:val="24"/>
              </w:rPr>
              <w:t>会员评家满意率：由本单位工会采用调查表的形式，就会员对工会工作和工会主席是否满意进行书面调查，调</w:t>
            </w:r>
            <w:r>
              <w:rPr>
                <w:rFonts w:hint="eastAsia" w:ascii="仿宋_GB2312" w:eastAsia="仿宋_GB2312"/>
                <w:spacing w:val="-20"/>
                <w:kern w:val="0"/>
                <w:sz w:val="24"/>
              </w:rPr>
              <w:t>查对象为本单位会员(代表)大会代表。（满意率须达90%以上）</w:t>
            </w:r>
          </w:p>
        </w:tc>
        <w:tc>
          <w:tcPr>
            <w:tcW w:w="2493" w:type="dxa"/>
            <w:gridSpan w:val="4"/>
            <w:tcBorders>
              <w:top w:val="single" w:color="auto" w:sz="4" w:space="0"/>
              <w:left w:val="nil"/>
              <w:bottom w:val="single" w:color="auto" w:sz="4" w:space="0"/>
              <w:right w:val="single" w:color="auto" w:sz="4" w:space="0"/>
            </w:tcBorders>
            <w:vAlign w:val="center"/>
          </w:tcPr>
          <w:p>
            <w:pPr>
              <w:widowControl/>
              <w:spacing w:line="360" w:lineRule="exact"/>
              <w:jc w:val="left"/>
              <w:rPr>
                <w:rFonts w:eastAsia="仿宋_GB2312"/>
                <w:bCs/>
                <w:kern w:val="0"/>
                <w:sz w:val="24"/>
              </w:rPr>
            </w:pPr>
            <w:r>
              <w:rPr>
                <w:rFonts w:eastAsia="仿宋_GB2312"/>
                <w:bCs/>
                <w:kern w:val="0"/>
                <w:sz w:val="24"/>
              </w:rPr>
              <w:t>会员数</w:t>
            </w:r>
            <w:r>
              <w:rPr>
                <w:rFonts w:eastAsia="仿宋_GB2312"/>
                <w:bCs/>
                <w:kern w:val="0"/>
                <w:sz w:val="24"/>
                <w:u w:val="single"/>
              </w:rPr>
              <w:t xml:space="preserve">         </w:t>
            </w:r>
            <w:r>
              <w:rPr>
                <w:rFonts w:eastAsia="仿宋_GB2312"/>
                <w:bCs/>
                <w:kern w:val="0"/>
                <w:sz w:val="24"/>
              </w:rPr>
              <w:t>人，</w:t>
            </w:r>
          </w:p>
          <w:p>
            <w:pPr>
              <w:widowControl/>
              <w:spacing w:line="360" w:lineRule="exact"/>
              <w:jc w:val="left"/>
              <w:rPr>
                <w:rFonts w:eastAsia="仿宋_GB2312"/>
                <w:bCs/>
                <w:kern w:val="0"/>
                <w:sz w:val="24"/>
              </w:rPr>
            </w:pPr>
            <w:r>
              <w:rPr>
                <w:rFonts w:eastAsia="仿宋_GB2312"/>
                <w:bCs/>
                <w:kern w:val="0"/>
                <w:sz w:val="24"/>
              </w:rPr>
              <w:t>调  查</w:t>
            </w:r>
            <w:r>
              <w:rPr>
                <w:rFonts w:eastAsia="仿宋_GB2312"/>
                <w:bCs/>
                <w:kern w:val="0"/>
                <w:sz w:val="24"/>
                <w:u w:val="single"/>
              </w:rPr>
              <w:t xml:space="preserve">         </w:t>
            </w:r>
            <w:r>
              <w:rPr>
                <w:rFonts w:eastAsia="仿宋_GB2312"/>
                <w:bCs/>
                <w:kern w:val="0"/>
                <w:sz w:val="24"/>
              </w:rPr>
              <w:t>人，</w:t>
            </w:r>
          </w:p>
          <w:p>
            <w:pPr>
              <w:widowControl/>
              <w:spacing w:line="360" w:lineRule="exact"/>
              <w:jc w:val="left"/>
              <w:rPr>
                <w:rFonts w:eastAsia="仿宋_GB2312"/>
                <w:bCs/>
                <w:spacing w:val="-10"/>
                <w:kern w:val="0"/>
                <w:sz w:val="24"/>
              </w:rPr>
            </w:pPr>
            <w:r>
              <w:rPr>
                <w:rFonts w:eastAsia="仿宋_GB2312"/>
                <w:bCs/>
                <w:spacing w:val="-10"/>
                <w:kern w:val="0"/>
                <w:sz w:val="24"/>
              </w:rPr>
              <w:t>建家工作满意率</w:t>
            </w:r>
            <w:r>
              <w:rPr>
                <w:rFonts w:eastAsia="仿宋_GB2312"/>
                <w:bCs/>
                <w:spacing w:val="-10"/>
                <w:kern w:val="0"/>
                <w:sz w:val="24"/>
                <w:u w:val="single"/>
              </w:rPr>
              <w:t xml:space="preserve">       </w:t>
            </w:r>
            <w:r>
              <w:rPr>
                <w:rFonts w:eastAsia="仿宋_GB2312"/>
                <w:bCs/>
                <w:spacing w:val="-10"/>
                <w:kern w:val="0"/>
                <w:sz w:val="24"/>
              </w:rPr>
              <w:t>%</w:t>
            </w:r>
          </w:p>
          <w:p>
            <w:pPr>
              <w:widowControl/>
              <w:spacing w:line="360" w:lineRule="exact"/>
              <w:jc w:val="left"/>
              <w:rPr>
                <w:rFonts w:eastAsia="仿宋_GB2312"/>
                <w:bCs/>
                <w:kern w:val="0"/>
                <w:sz w:val="24"/>
              </w:rPr>
            </w:pPr>
            <w:r>
              <w:rPr>
                <w:rFonts w:eastAsia="仿宋_GB2312"/>
                <w:bCs/>
                <w:spacing w:val="-10"/>
                <w:kern w:val="0"/>
                <w:sz w:val="24"/>
              </w:rPr>
              <w:t>工会主席满意率</w:t>
            </w:r>
            <w:r>
              <w:rPr>
                <w:rFonts w:eastAsia="仿宋_GB2312"/>
                <w:bCs/>
                <w:spacing w:val="-10"/>
                <w:kern w:val="0"/>
                <w:sz w:val="24"/>
                <w:u w:val="single"/>
              </w:rPr>
              <w:t xml:space="preserve">       </w:t>
            </w:r>
            <w:r>
              <w:rPr>
                <w:rFonts w:eastAsia="仿宋_GB2312"/>
                <w:bCs/>
                <w:spacing w:val="-10"/>
                <w:kern w:val="0"/>
                <w:sz w:val="24"/>
              </w:rPr>
              <w:t xml:space="preserve">% </w:t>
            </w:r>
          </w:p>
        </w:tc>
      </w:tr>
      <w:tr>
        <w:tblPrEx>
          <w:tblLayout w:type="fixed"/>
          <w:tblCellMar>
            <w:top w:w="0" w:type="dxa"/>
            <w:left w:w="108" w:type="dxa"/>
            <w:bottom w:w="0" w:type="dxa"/>
            <w:right w:w="108" w:type="dxa"/>
          </w:tblCellMar>
        </w:tblPrEx>
        <w:trPr>
          <w:trHeight w:val="367" w:hRule="atLeast"/>
        </w:trPr>
        <w:tc>
          <w:tcPr>
            <w:tcW w:w="6647" w:type="dxa"/>
            <w:gridSpan w:val="2"/>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仿宋_GB2312" w:eastAsia="仿宋_GB2312"/>
                <w:kern w:val="0"/>
                <w:sz w:val="24"/>
              </w:rPr>
            </w:pPr>
            <w:r>
              <w:rPr>
                <w:rFonts w:hint="eastAsia" w:ascii="仿宋_GB2312" w:eastAsia="仿宋_GB2312"/>
                <w:kern w:val="0"/>
                <w:sz w:val="24"/>
              </w:rPr>
              <w:t>职工入会率：工会会员数须达职工总数的90%以上。</w:t>
            </w:r>
          </w:p>
        </w:tc>
        <w:tc>
          <w:tcPr>
            <w:tcW w:w="2493" w:type="dxa"/>
            <w:gridSpan w:val="4"/>
            <w:tcBorders>
              <w:top w:val="single" w:color="auto" w:sz="4" w:space="0"/>
              <w:left w:val="nil"/>
              <w:bottom w:val="single" w:color="auto" w:sz="4" w:space="0"/>
              <w:right w:val="single" w:color="auto" w:sz="4" w:space="0"/>
            </w:tcBorders>
            <w:vAlign w:val="center"/>
          </w:tcPr>
          <w:p>
            <w:pPr>
              <w:widowControl/>
              <w:spacing w:line="400" w:lineRule="exact"/>
              <w:jc w:val="center"/>
              <w:rPr>
                <w:rFonts w:eastAsia="仿宋_GB2312"/>
                <w:kern w:val="0"/>
                <w:sz w:val="24"/>
              </w:rPr>
            </w:pPr>
            <w:r>
              <w:rPr>
                <w:rFonts w:eastAsia="仿宋_GB2312"/>
                <w:kern w:val="0"/>
                <w:sz w:val="24"/>
              </w:rPr>
              <w:t xml:space="preserve">      　%</w:t>
            </w:r>
          </w:p>
        </w:tc>
      </w:tr>
      <w:tr>
        <w:tblPrEx>
          <w:tblLayout w:type="fixed"/>
          <w:tblCellMar>
            <w:top w:w="0" w:type="dxa"/>
            <w:left w:w="108" w:type="dxa"/>
            <w:bottom w:w="0" w:type="dxa"/>
            <w:right w:w="108" w:type="dxa"/>
          </w:tblCellMar>
        </w:tblPrEx>
        <w:trPr>
          <w:trHeight w:val="1446" w:hRule="atLeast"/>
        </w:trPr>
        <w:tc>
          <w:tcPr>
            <w:tcW w:w="9140" w:type="dxa"/>
            <w:gridSpan w:val="6"/>
            <w:tcBorders>
              <w:top w:val="single" w:color="auto" w:sz="4" w:space="0"/>
              <w:left w:val="single" w:color="auto" w:sz="4" w:space="0"/>
              <w:bottom w:val="single" w:color="auto" w:sz="4" w:space="0"/>
              <w:right w:val="single" w:color="000000" w:sz="4" w:space="0"/>
            </w:tcBorders>
            <w:vAlign w:val="top"/>
          </w:tcPr>
          <w:p>
            <w:pPr>
              <w:widowControl/>
              <w:spacing w:before="156" w:beforeLines="50" w:line="360" w:lineRule="exact"/>
              <w:jc w:val="left"/>
              <w:rPr>
                <w:rFonts w:eastAsia="仿宋_GB2312"/>
                <w:bCs/>
                <w:kern w:val="0"/>
                <w:sz w:val="24"/>
              </w:rPr>
            </w:pPr>
            <w:r>
              <w:rPr>
                <w:rFonts w:hint="eastAsia" w:eastAsia="仿宋_GB2312"/>
                <w:bCs/>
                <w:kern w:val="0"/>
                <w:sz w:val="24"/>
              </w:rPr>
              <w:t>上级</w:t>
            </w:r>
            <w:r>
              <w:rPr>
                <w:rFonts w:eastAsia="仿宋_GB2312"/>
                <w:bCs/>
                <w:kern w:val="0"/>
                <w:sz w:val="24"/>
              </w:rPr>
              <w:t xml:space="preserve">工会考评意见：         </w:t>
            </w:r>
          </w:p>
          <w:p>
            <w:pPr>
              <w:widowControl/>
              <w:spacing w:line="360" w:lineRule="exact"/>
              <w:jc w:val="left"/>
              <w:rPr>
                <w:rFonts w:eastAsia="仿宋_GB2312"/>
                <w:bCs/>
                <w:kern w:val="0"/>
                <w:sz w:val="24"/>
              </w:rPr>
            </w:pPr>
          </w:p>
          <w:p>
            <w:pPr>
              <w:widowControl/>
              <w:spacing w:line="360" w:lineRule="exact"/>
              <w:jc w:val="left"/>
              <w:rPr>
                <w:rFonts w:eastAsia="仿宋_GB2312"/>
                <w:bCs/>
                <w:kern w:val="0"/>
                <w:sz w:val="24"/>
              </w:rPr>
            </w:pPr>
          </w:p>
          <w:p>
            <w:pPr>
              <w:spacing w:line="360" w:lineRule="exact"/>
              <w:ind w:right="280"/>
              <w:jc w:val="right"/>
              <w:rPr>
                <w:rFonts w:eastAsia="仿宋_GB2312"/>
                <w:bCs/>
                <w:kern w:val="0"/>
                <w:sz w:val="24"/>
              </w:rPr>
            </w:pPr>
            <w:r>
              <w:rPr>
                <w:rFonts w:eastAsia="仿宋_GB2312"/>
                <w:bCs/>
                <w:kern w:val="0"/>
                <w:sz w:val="24"/>
              </w:rPr>
              <w:t>年   月   日</w:t>
            </w:r>
          </w:p>
        </w:tc>
      </w:tr>
    </w:tbl>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楷体_GB2312">
    <w:altName w:val="楷体"/>
    <w:panose1 w:val="02010609030101010101"/>
    <w:charset w:val="86"/>
    <w:family w:val="swiss"/>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Verdana">
    <w:panose1 w:val="020B0604030504040204"/>
    <w:charset w:val="00"/>
    <w:family w:val="decorative"/>
    <w:pitch w:val="default"/>
    <w:sig w:usb0="A10006FF" w:usb1="4000205B" w:usb2="0000001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swiss"/>
    <w:pitch w:val="default"/>
    <w:sig w:usb0="800002BF" w:usb1="38CF7CFA" w:usb2="00000016" w:usb3="00000000" w:csb0="00040001" w:csb1="00000000"/>
  </w:font>
  <w:font w:name="Dotum">
    <w:panose1 w:val="020B0600000101010101"/>
    <w:charset w:val="81"/>
    <w:family w:val="decorative"/>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6318F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 New"/>
    <w:uiPriority w:val="0"/>
    <w:pPr>
      <w:widowControl w:val="0"/>
      <w:jc w:val="both"/>
    </w:pPr>
    <w:rPr>
      <w:rFonts w:eastAsia="楷体_GB2312"/>
      <w:kern w:val="2"/>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2018-08-06T02:41:57Z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