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60D4B">
      <w:pPr>
        <w:numPr>
          <w:ilvl w:val="0"/>
          <w:numId w:val="0"/>
        </w:numPr>
        <w:jc w:val="left"/>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lang w:eastAsia="zh-CN"/>
        </w:rPr>
        <w:t>附件</w:t>
      </w:r>
      <w:r>
        <w:rPr>
          <w:rFonts w:hint="default" w:ascii="宋体" w:hAnsi="宋体" w:eastAsia="宋体" w:cs="宋体"/>
          <w:b w:val="0"/>
          <w:bCs/>
          <w:color w:val="auto"/>
          <w:sz w:val="30"/>
          <w:szCs w:val="30"/>
          <w:lang w:val="en-US" w:eastAsia="zh-CN"/>
        </w:rPr>
        <w:t>2</w:t>
      </w:r>
    </w:p>
    <w:p w14:paraId="BCAFF55C">
      <w:pPr>
        <w:numPr>
          <w:ilvl w:val="0"/>
          <w:numId w:val="0"/>
        </w:numPr>
        <w:jc w:val="center"/>
        <w:rPr>
          <w:rFonts w:hint="default"/>
          <w:color w:val="auto"/>
          <w:lang w:val="en-US" w:eastAsia="zh-CN"/>
        </w:rPr>
      </w:pPr>
      <w:bookmarkStart w:id="0" w:name="_GoBack"/>
      <w:r>
        <w:rPr>
          <w:rFonts w:hint="eastAsia" w:ascii="方正小标宋简体" w:hAnsi="方正小标宋简体" w:eastAsia="方正小标宋简体" w:cs="方正小标宋简体"/>
          <w:b w:val="0"/>
          <w:bCs/>
          <w:color w:val="auto"/>
          <w:sz w:val="44"/>
          <w:szCs w:val="44"/>
          <w:lang w:eastAsia="zh-CN"/>
        </w:rPr>
        <w:t>艰苦行业（职业）</w:t>
      </w:r>
      <w:r>
        <w:rPr>
          <w:rFonts w:hint="eastAsia" w:ascii="方正小标宋简体" w:hAnsi="方正小标宋简体" w:eastAsia="方正小标宋简体" w:cs="方正小标宋简体"/>
          <w:b w:val="0"/>
          <w:bCs/>
          <w:color w:val="auto"/>
          <w:sz w:val="44"/>
          <w:szCs w:val="44"/>
        </w:rPr>
        <w:t>参考范围</w:t>
      </w:r>
      <w:bookmarkEnd w:id="0"/>
    </w:p>
    <w:p w14:paraId="F1510C3F">
      <w:pPr>
        <w:numPr>
          <w:ilvl w:val="0"/>
          <w:numId w:val="0"/>
        </w:numPr>
        <w:ind w:firstLine="3570" w:firstLineChars="1700"/>
        <w:rPr>
          <w:rFonts w:hint="default"/>
          <w:color w:val="auto"/>
          <w:lang w:val="en-US" w:eastAsia="zh-CN"/>
        </w:rPr>
      </w:pPr>
    </w:p>
    <w:tbl>
      <w:tblPr>
        <w:tblStyle w:val="2"/>
        <w:tblpPr w:leftFromText="180" w:rightFromText="180" w:vertAnchor="text" w:horzAnchor="page" w:tblpX="1786" w:tblpY="26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8310"/>
      </w:tblGrid>
      <w:tr w14:paraId="3F7A1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835" w:type="dxa"/>
            <w:tcBorders>
              <w:top w:val="single" w:color="auto" w:sz="4" w:space="0"/>
              <w:left w:val="single" w:color="auto" w:sz="4" w:space="0"/>
              <w:bottom w:val="single" w:color="auto" w:sz="4" w:space="0"/>
              <w:right w:val="single" w:color="auto" w:sz="4" w:space="0"/>
            </w:tcBorders>
            <w:vAlign w:val="center"/>
          </w:tcPr>
          <w:p w14:paraId="46D2C636">
            <w:pPr>
              <w:pStyle w:val="4"/>
              <w:widowControl/>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苦</w:t>
            </w:r>
          </w:p>
        </w:tc>
        <w:tc>
          <w:tcPr>
            <w:tcW w:w="8310" w:type="dxa"/>
            <w:tcBorders>
              <w:top w:val="single" w:color="auto" w:sz="4" w:space="0"/>
              <w:left w:val="nil"/>
              <w:bottom w:val="single" w:color="auto" w:sz="4" w:space="0"/>
              <w:right w:val="single" w:color="auto" w:sz="4" w:space="0"/>
            </w:tcBorders>
            <w:vAlign w:val="center"/>
          </w:tcPr>
          <w:p w14:paraId="4BF1E8F8">
            <w:pPr>
              <w:pStyle w:val="4"/>
              <w:widowControl/>
              <w:spacing w:line="560" w:lineRule="exact"/>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主要</w:t>
            </w:r>
            <w:r>
              <w:rPr>
                <w:rFonts w:hint="eastAsia" w:ascii="仿宋" w:hAnsi="仿宋" w:eastAsia="仿宋" w:cs="仿宋"/>
                <w:color w:val="auto"/>
                <w:kern w:val="0"/>
                <w:sz w:val="30"/>
                <w:szCs w:val="30"/>
              </w:rPr>
              <w:t>指从事井下、地下、高空、高</w:t>
            </w:r>
            <w:r>
              <w:rPr>
                <w:rFonts w:hint="eastAsia" w:ascii="仿宋" w:hAnsi="仿宋" w:eastAsia="仿宋" w:cs="仿宋"/>
                <w:color w:val="auto"/>
                <w:kern w:val="0"/>
                <w:sz w:val="30"/>
                <w:szCs w:val="30"/>
                <w:lang w:eastAsia="zh-CN"/>
              </w:rPr>
              <w:t>（低）</w:t>
            </w:r>
            <w:r>
              <w:rPr>
                <w:rFonts w:hint="eastAsia" w:ascii="仿宋" w:hAnsi="仿宋" w:eastAsia="仿宋" w:cs="仿宋"/>
                <w:color w:val="auto"/>
                <w:kern w:val="0"/>
                <w:sz w:val="30"/>
                <w:szCs w:val="30"/>
              </w:rPr>
              <w:t>温、冷水等特殊环境作业或特别繁重体力劳动的职业，例如煤矿、采石工、电力线路维修工、地下管道工、建筑工人等主要岗位、工种或行业。</w:t>
            </w:r>
          </w:p>
        </w:tc>
      </w:tr>
      <w:tr w14:paraId="7BACB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835" w:type="dxa"/>
            <w:tcBorders>
              <w:top w:val="nil"/>
              <w:left w:val="single" w:color="auto" w:sz="4" w:space="0"/>
              <w:bottom w:val="single" w:color="auto" w:sz="4" w:space="0"/>
              <w:right w:val="single" w:color="auto" w:sz="4" w:space="0"/>
            </w:tcBorders>
            <w:vAlign w:val="center"/>
          </w:tcPr>
          <w:p w14:paraId="49C17FA4">
            <w:pPr>
              <w:pStyle w:val="4"/>
              <w:widowControl/>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脏</w:t>
            </w:r>
          </w:p>
        </w:tc>
        <w:tc>
          <w:tcPr>
            <w:tcW w:w="8310" w:type="dxa"/>
            <w:tcBorders>
              <w:top w:val="nil"/>
              <w:left w:val="nil"/>
              <w:bottom w:val="single" w:color="auto" w:sz="4" w:space="0"/>
              <w:right w:val="single" w:color="auto" w:sz="4" w:space="0"/>
            </w:tcBorders>
            <w:vAlign w:val="center"/>
          </w:tcPr>
          <w:p w14:paraId="B06E6F02">
            <w:pPr>
              <w:pStyle w:val="4"/>
              <w:widowControl/>
              <w:spacing w:line="560" w:lineRule="exact"/>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主要指</w:t>
            </w:r>
            <w:r>
              <w:rPr>
                <w:rFonts w:hint="eastAsia" w:ascii="仿宋" w:hAnsi="仿宋" w:eastAsia="仿宋" w:cs="仿宋"/>
                <w:color w:val="auto"/>
                <w:kern w:val="0"/>
                <w:sz w:val="30"/>
                <w:szCs w:val="30"/>
                <w:lang w:eastAsia="zh-CN"/>
              </w:rPr>
              <w:t>从事</w:t>
            </w:r>
            <w:r>
              <w:rPr>
                <w:rFonts w:hint="eastAsia" w:ascii="仿宋" w:hAnsi="仿宋" w:eastAsia="仿宋" w:cs="仿宋"/>
                <w:color w:val="auto"/>
                <w:kern w:val="0"/>
                <w:sz w:val="30"/>
                <w:szCs w:val="30"/>
              </w:rPr>
              <w:t>环卫系统的垃圾清洁工、垃圾装卸工、污水管道工、排水工、掏粪工、制肥工、公厕清扫工、公厕维护工等主要岗位、工种或行业。</w:t>
            </w:r>
          </w:p>
        </w:tc>
      </w:tr>
      <w:tr w14:paraId="39889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835" w:type="dxa"/>
            <w:tcBorders>
              <w:top w:val="nil"/>
              <w:left w:val="single" w:color="auto" w:sz="4" w:space="0"/>
              <w:bottom w:val="single" w:color="auto" w:sz="4" w:space="0"/>
              <w:right w:val="single" w:color="auto" w:sz="4" w:space="0"/>
            </w:tcBorders>
            <w:vAlign w:val="center"/>
          </w:tcPr>
          <w:p w14:paraId="084973BA">
            <w:pPr>
              <w:pStyle w:val="4"/>
              <w:widowControl/>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累</w:t>
            </w:r>
          </w:p>
        </w:tc>
        <w:tc>
          <w:tcPr>
            <w:tcW w:w="8310" w:type="dxa"/>
            <w:tcBorders>
              <w:top w:val="nil"/>
              <w:left w:val="nil"/>
              <w:bottom w:val="single" w:color="auto" w:sz="4" w:space="0"/>
              <w:right w:val="single" w:color="auto" w:sz="4" w:space="0"/>
            </w:tcBorders>
            <w:vAlign w:val="center"/>
          </w:tcPr>
          <w:p w14:paraId="AC889AEE">
            <w:pPr>
              <w:pStyle w:val="4"/>
              <w:widowControl/>
              <w:spacing w:line="560" w:lineRule="exact"/>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主要</w:t>
            </w:r>
            <w:r>
              <w:rPr>
                <w:rFonts w:hint="eastAsia" w:ascii="仿宋" w:hAnsi="仿宋" w:eastAsia="仿宋" w:cs="仿宋"/>
                <w:color w:val="auto"/>
                <w:kern w:val="0"/>
                <w:sz w:val="30"/>
                <w:szCs w:val="30"/>
              </w:rPr>
              <w:t>指从事较为繁重体力或长时间不间断劳动的职业，如</w:t>
            </w:r>
            <w:r>
              <w:rPr>
                <w:rFonts w:hint="eastAsia" w:ascii="仿宋" w:hAnsi="仿宋" w:eastAsia="仿宋" w:cs="仿宋"/>
                <w:color w:val="auto"/>
                <w:kern w:val="0"/>
                <w:sz w:val="30"/>
                <w:szCs w:val="30"/>
                <w:lang w:eastAsia="zh-CN"/>
              </w:rPr>
              <w:t>快递员、外卖配送员、</w:t>
            </w:r>
            <w:r>
              <w:rPr>
                <w:rFonts w:hint="eastAsia" w:ascii="仿宋" w:hAnsi="仿宋" w:eastAsia="仿宋" w:cs="仿宋"/>
                <w:color w:val="auto"/>
                <w:kern w:val="0"/>
                <w:sz w:val="30"/>
                <w:szCs w:val="30"/>
              </w:rPr>
              <w:t>长途运输驾驶员、公交出租</w:t>
            </w:r>
            <w:r>
              <w:rPr>
                <w:rFonts w:hint="eastAsia" w:ascii="仿宋" w:hAnsi="仿宋" w:eastAsia="仿宋" w:cs="仿宋"/>
                <w:color w:val="auto"/>
                <w:kern w:val="0"/>
                <w:sz w:val="30"/>
                <w:szCs w:val="30"/>
                <w:lang w:eastAsia="zh-CN"/>
              </w:rPr>
              <w:t>（网约车）</w:t>
            </w:r>
            <w:r>
              <w:rPr>
                <w:rFonts w:hint="eastAsia" w:ascii="仿宋" w:hAnsi="仿宋" w:eastAsia="仿宋" w:cs="仿宋"/>
                <w:color w:val="auto"/>
                <w:kern w:val="0"/>
                <w:sz w:val="30"/>
                <w:szCs w:val="30"/>
              </w:rPr>
              <w:t>驾驶员、殡葬工人、陵园服务员、园林养护工、养老院护理员、精神病院护理员、清</w:t>
            </w:r>
            <w:r>
              <w:rPr>
                <w:rFonts w:hint="eastAsia" w:ascii="仿宋" w:hAnsi="仿宋" w:eastAsia="仿宋" w:cs="仿宋"/>
                <w:color w:val="auto"/>
                <w:kern w:val="0"/>
                <w:sz w:val="30"/>
                <w:szCs w:val="30"/>
                <w:lang w:eastAsia="zh-CN"/>
              </w:rPr>
              <w:t>洁</w:t>
            </w:r>
            <w:r>
              <w:rPr>
                <w:rFonts w:hint="eastAsia" w:ascii="仿宋" w:hAnsi="仿宋" w:eastAsia="仿宋" w:cs="仿宋"/>
                <w:color w:val="auto"/>
                <w:kern w:val="0"/>
                <w:sz w:val="30"/>
                <w:szCs w:val="30"/>
              </w:rPr>
              <w:t>工、交警、护士、媒体工作者、工厂流水线操作工、印刷工人、保安、解剖工、清扫工人、河道清理工、水电抢修工、江堤养护工、铁路工人、公路养路工、装卸工等主要岗位、工种或行业。</w:t>
            </w:r>
          </w:p>
        </w:tc>
      </w:tr>
      <w:tr w14:paraId="47890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835" w:type="dxa"/>
            <w:tcBorders>
              <w:top w:val="nil"/>
              <w:left w:val="single" w:color="auto" w:sz="4" w:space="0"/>
              <w:bottom w:val="single" w:color="auto" w:sz="4" w:space="0"/>
              <w:right w:val="single" w:color="auto" w:sz="4" w:space="0"/>
            </w:tcBorders>
            <w:vAlign w:val="center"/>
          </w:tcPr>
          <w:p w14:paraId="7F2C6B1E">
            <w:pPr>
              <w:pStyle w:val="4"/>
              <w:widowControl/>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险</w:t>
            </w:r>
          </w:p>
        </w:tc>
        <w:tc>
          <w:tcPr>
            <w:tcW w:w="8310" w:type="dxa"/>
            <w:tcBorders>
              <w:top w:val="nil"/>
              <w:left w:val="nil"/>
              <w:bottom w:val="single" w:color="auto" w:sz="4" w:space="0"/>
              <w:right w:val="single" w:color="auto" w:sz="4" w:space="0"/>
            </w:tcBorders>
            <w:vAlign w:val="center"/>
          </w:tcPr>
          <w:p w14:paraId="99C6BB9C">
            <w:pPr>
              <w:pStyle w:val="4"/>
              <w:widowControl/>
              <w:spacing w:line="560" w:lineRule="exact"/>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主要指从事</w:t>
            </w:r>
            <w:r>
              <w:rPr>
                <w:rFonts w:hint="eastAsia" w:ascii="仿宋" w:hAnsi="仿宋" w:eastAsia="仿宋" w:cs="仿宋"/>
                <w:color w:val="auto"/>
                <w:kern w:val="0"/>
                <w:sz w:val="30"/>
                <w:szCs w:val="30"/>
              </w:rPr>
              <w:t>危险作业（对人身安全威胁性高，需要特别防护措施作业的）和毒害作业（工人在生产过程中接触以原料、成品、半成品、中间体、反应副产物形式存在，并在操作时可经呼吸道、皮肤或口进入体内</w:t>
            </w:r>
            <w:r>
              <w:rPr>
                <w:rFonts w:hint="eastAsia" w:ascii="仿宋" w:hAnsi="仿宋" w:eastAsia="仿宋" w:cs="仿宋"/>
                <w:color w:val="auto"/>
                <w:kern w:val="0"/>
                <w:sz w:val="30"/>
                <w:szCs w:val="30"/>
                <w:lang w:eastAsia="zh-CN"/>
              </w:rPr>
              <w:t>而</w:t>
            </w:r>
            <w:r>
              <w:rPr>
                <w:rFonts w:hint="eastAsia" w:ascii="仿宋" w:hAnsi="仿宋" w:eastAsia="仿宋" w:cs="仿宋"/>
                <w:color w:val="auto"/>
                <w:kern w:val="0"/>
                <w:sz w:val="30"/>
                <w:szCs w:val="30"/>
              </w:rPr>
              <w:t>对健康产生危害的物质）。例如外墙装修工、高楼作业工、有毒有害气体企业工人、化工厂工人、深水作业工、喷漆工、从事辐射工作人员等主要岗位、工种或行业。</w:t>
            </w:r>
          </w:p>
        </w:tc>
      </w:tr>
    </w:tbl>
    <w:p w14:paraId="9C857E44">
      <w:pPr>
        <w:numPr>
          <w:ilvl w:val="0"/>
          <w:numId w:val="0"/>
        </w:numPr>
        <w:ind w:firstLine="3570" w:firstLineChars="1700"/>
        <w:rPr>
          <w:rFonts w:hint="default"/>
          <w:color w:val="auto"/>
          <w:lang w:val="en-US" w:eastAsia="zh-CN"/>
        </w:rPr>
      </w:pPr>
    </w:p>
    <w:p w14:paraId="184214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FBA905A-55C5-48D9-B120-AE44B8533A1B}"/>
  </w:font>
  <w:font w:name="仿宋_GB2312">
    <w:altName w:val="仿宋"/>
    <w:panose1 w:val="02010609030000010101"/>
    <w:charset w:val="86"/>
    <w:family w:val="auto"/>
    <w:pitch w:val="default"/>
    <w:sig w:usb0="00000000" w:usb1="0000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2" w:fontKey="{7BC84D36-6542-4BB6-9D77-0B0BF94A242F}"/>
  </w:font>
  <w:font w:name="仿宋">
    <w:panose1 w:val="02010609060101010101"/>
    <w:charset w:val="86"/>
    <w:family w:val="auto"/>
    <w:pitch w:val="default"/>
    <w:sig w:usb0="800002BF" w:usb1="38CF7CFA" w:usb2="00000016" w:usb3="00000000" w:csb0="00040001" w:csb1="00000000"/>
    <w:embedRegular r:id="rId3" w:fontKey="{0575FCFF-513A-481C-9EA6-7FA0B08560B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80CC5"/>
    <w:rsid w:val="3F98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2025-07-09T01:19:00Z</dcterms:created>
  <dc:creator>晴时有风</dc:creator>
  <cp:lastModifiedBy>晴时有风</cp:lastModifiedBy>
  <dcterms:modified xsi:type="dcterms:W3CDTF">2025-07-09T01:19:34Z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3D4342D0789B4B43A0F0FBFA83111198_11</vt:lpwstr>
  </property>
  <property fmtid="{D5CDD505-2E9C-101B-9397-08002B2CF9AE}" pid="4" name="KSOTemplateDocerSaveRecord">
    <vt:lpwstr>eyJoZGlkIjoiNDI1NGQ4MDY4NjMxYWVlMzc3ODM2NDE0MmU1ODUxYzYiLCJ1c2VySWQiOiI1MzQwNDMxMDUifQ==</vt:lpwstr>
  </property>
</Properties>
</file>