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3564C">
      <w:pPr>
        <w:widowControl w:val="0"/>
        <w:adjustRightInd w:val="0"/>
        <w:snapToGrid w:val="0"/>
        <w:spacing w:line="58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bookmarkStart w:id="0" w:name="OLE_LINK4"/>
    </w:p>
    <w:p w14:paraId="2F16583B">
      <w:pPr>
        <w:widowControl w:val="0"/>
        <w:adjustRightInd w:val="0"/>
        <w:snapToGrid w:val="0"/>
        <w:spacing w:line="58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</w:p>
    <w:p w14:paraId="79965FEA">
      <w:pPr>
        <w:widowControl w:val="0"/>
        <w:adjustRightInd w:val="0"/>
        <w:snapToGrid w:val="0"/>
        <w:spacing w:line="58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 xml:space="preserve">厦门市交通运输局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厦门市总工会</w:t>
      </w:r>
    </w:p>
    <w:p w14:paraId="15684F14">
      <w:pPr>
        <w:widowControl w:val="0"/>
        <w:adjustRightInd w:val="0"/>
        <w:snapToGrid w:val="0"/>
        <w:spacing w:line="58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24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关于举办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厦门市第三十一届职工技能大赛</w:t>
      </w:r>
    </w:p>
    <w:p w14:paraId="36B72AD4">
      <w:pPr>
        <w:widowControl w:val="0"/>
        <w:adjustRightInd w:val="0"/>
        <w:snapToGrid w:val="0"/>
        <w:spacing w:line="580" w:lineRule="atLeast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道路货运汽车司机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技能竞赛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的通知</w:t>
      </w:r>
      <w:bookmarkEnd w:id="24"/>
    </w:p>
    <w:p w14:paraId="2D259ECC">
      <w:pPr>
        <w:adjustRightInd w:val="0"/>
        <w:snapToGrid w:val="0"/>
        <w:spacing w:line="580" w:lineRule="atLeas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6C058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各有关单位：</w:t>
      </w:r>
    </w:p>
    <w:p w14:paraId="5682D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为贯彻落实党的二十大精神，深入贯彻习近平总书记关于技能人才工作的重要指示精神，大力弘扬劳模精神、劳动精神、工匠精神，激励更多劳动者特别是青年一代走技能成才、技能报国之路，促进我市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道路运输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行业高质量发展，为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港口高质量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培养更多高技能服务人才，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提升货车司机驾驶技能和安全意识，满足我市物流发展需求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根据《厦门市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总工会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厦门市人力资源和社会保障局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关于举办2025年度厦门市职工劳动和技能大赛的通知》（厦工〔2025〕20号）精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神，经研究，决定举办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厦门市第三十一届职工技能大赛道路货运汽车司机技能竞赛。现将有关事项通知如下：</w:t>
      </w:r>
    </w:p>
    <w:p w14:paraId="499CA57E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80" w:lineRule="exact"/>
        <w:ind w:firstLine="627" w:firstLineChars="196"/>
        <w:rPr>
          <w:rFonts w:hint="eastAsia" w:ascii="CESI黑体-GB2312" w:hAnsi="CESI黑体-GB2312" w:eastAsia="CESI黑体-GB2312" w:cs="CESI黑体-GB2312"/>
          <w:bCs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一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auto"/>
          <w:sz w:val="32"/>
          <w:szCs w:val="32"/>
        </w:rPr>
        <w:t>组织机构</w:t>
      </w:r>
    </w:p>
    <w:p w14:paraId="48AB9F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bookmarkStart w:id="1" w:name="OLE_LINK17"/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厦门市总工会 </w:t>
      </w:r>
    </w:p>
    <w:p w14:paraId="0567B3D2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firstLine="2240" w:firstLineChars="7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厦门市交通运输局</w:t>
      </w:r>
    </w:p>
    <w:p w14:paraId="269F20B4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lang w:val="en-US" w:eastAsia="zh-CN"/>
        </w:rPr>
        <w:t>中国（福建）自由贸易试验区厦门片区工会委员会</w:t>
      </w:r>
    </w:p>
    <w:p w14:paraId="38A8A949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firstLine="2240" w:firstLineChars="7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厦门市运输事业发展中心</w:t>
      </w:r>
    </w:p>
    <w:p w14:paraId="6465CFA2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80" w:lineRule="exact"/>
        <w:rPr>
          <w:rFonts w:hint="eastAsia" w:ascii="仿宋_GB2312" w:hAnsi="仿宋_GB2312" w:eastAsia="仿宋_GB2312" w:cs="仿宋_GB2312"/>
          <w:color w:val="auto"/>
          <w:lang w:val="en-US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       厦门市集装箱运输协会</w:t>
      </w:r>
    </w:p>
    <w:p w14:paraId="39FA1E7B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协办单位：</w:t>
      </w:r>
      <w:bookmarkEnd w:id="1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自贸片区集装箱运输企业工会联合会</w:t>
      </w:r>
    </w:p>
    <w:p w14:paraId="4324C55B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</w:pPr>
      <w:bookmarkStart w:id="2" w:name="OLE_LINK28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为确保本项目竞赛活动顺利进行，特成立竞赛组织委员会（以下简称“竞赛组委会”），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对竞赛活动进行统一组织、协调和指导。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Hans"/>
        </w:rPr>
        <w:t>竞赛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组委会下设办公室，同时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shd w:val="clear" w:color="auto" w:fill="FFFFFF"/>
        </w:rPr>
        <w:t>成立专门监督仲裁工作组和技术工作组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，负责组织筹备竞赛活动的具体工作。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shd w:val="clear" w:color="auto" w:fill="FFFFFF"/>
        </w:rPr>
        <w:t>具体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组成如下：</w:t>
      </w:r>
    </w:p>
    <w:p w14:paraId="59F3D7C4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firstLine="643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（一）竞赛组委会</w:t>
      </w:r>
    </w:p>
    <w:p w14:paraId="5E4988AB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spacing w:line="580" w:lineRule="exact"/>
        <w:ind w:left="0" w:leftChars="0" w:right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w w:val="100"/>
          <w:sz w:val="32"/>
          <w:szCs w:val="32"/>
        </w:rPr>
        <w:t>主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6"/>
          <w:w w:val="1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w w:val="100"/>
          <w:sz w:val="32"/>
          <w:szCs w:val="32"/>
        </w:rPr>
        <w:t>任：刘义平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w w:val="100"/>
          <w:sz w:val="32"/>
          <w:szCs w:val="32"/>
        </w:rPr>
        <w:t>厦门市总工会党组成员、副主席</w:t>
      </w:r>
    </w:p>
    <w:p w14:paraId="5CB16E2B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3408" w:leftChars="320" w:right="0" w:hanging="2736" w:hangingChars="8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w w:val="100"/>
          <w:sz w:val="32"/>
          <w:szCs w:val="32"/>
        </w:rPr>
      </w:pPr>
      <w:bookmarkStart w:id="3" w:name="OLE_LINK10"/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w w:val="100"/>
          <w:sz w:val="32"/>
          <w:szCs w:val="32"/>
        </w:rPr>
        <w:t>副主任：</w:t>
      </w:r>
      <w:bookmarkEnd w:id="3"/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w w:val="100"/>
          <w:sz w:val="32"/>
          <w:szCs w:val="32"/>
        </w:rPr>
        <w:t>林永博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w w:val="100"/>
          <w:sz w:val="32"/>
          <w:szCs w:val="32"/>
        </w:rPr>
        <w:t>厦门市交通运输局党工委委员、</w:t>
      </w:r>
    </w:p>
    <w:p w14:paraId="3B1972A4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3226" w:leftChars="1536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w w:val="100"/>
          <w:sz w:val="32"/>
          <w:szCs w:val="32"/>
        </w:rPr>
        <w:t>一级调研员</w:t>
      </w:r>
    </w:p>
    <w:p w14:paraId="45A6898F">
      <w:pPr>
        <w:pStyle w:val="15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3363" w:leftChars="950" w:right="0" w:hanging="1368" w:hangingChars="4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pacing w:val="6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w w:val="100"/>
          <w:sz w:val="32"/>
          <w:szCs w:val="32"/>
        </w:rPr>
        <w:t xml:space="preserve">丁松柏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w w:val="100"/>
          <w:sz w:val="32"/>
          <w:szCs w:val="32"/>
        </w:rPr>
        <w:t>厦门市总工会劳动和经技工作部部长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6"/>
          <w:w w:val="100"/>
          <w:sz w:val="32"/>
          <w:szCs w:val="32"/>
        </w:rPr>
        <w:t>、</w:t>
      </w:r>
    </w:p>
    <w:p w14:paraId="4F622085">
      <w:pPr>
        <w:pStyle w:val="15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3272" w:leftChars="1558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w w:val="100"/>
          <w:sz w:val="32"/>
          <w:szCs w:val="32"/>
        </w:rPr>
        <w:t>一级调研员</w:t>
      </w:r>
    </w:p>
    <w:p w14:paraId="54BCBCEC">
      <w:pPr>
        <w:pStyle w:val="15"/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left="0" w:leftChars="0" w:firstLine="643" w:firstLineChars="200"/>
        <w:rPr>
          <w:rFonts w:hint="eastAsia" w:ascii="仿宋" w:hAnsi="仿宋" w:eastAsia="仿宋" w:cs="仿宋"/>
          <w:bCs/>
          <w:color w:val="auto"/>
          <w:spacing w:val="-6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委  员：</w:t>
      </w:r>
      <w:r>
        <w:rPr>
          <w:rFonts w:hint="eastAsia" w:eastAsia="仿宋_GB2312" w:cs="仿宋_GB2312"/>
          <w:bCs/>
          <w:spacing w:val="-6"/>
          <w:sz w:val="32"/>
          <w:szCs w:val="32"/>
        </w:rPr>
        <w:t>林共贺、</w:t>
      </w:r>
      <w:r>
        <w:rPr>
          <w:rFonts w:hint="eastAsia" w:ascii="仿宋" w:hAnsi="仿宋" w:eastAsia="仿宋" w:cs="仿宋"/>
          <w:bCs/>
          <w:spacing w:val="-6"/>
          <w:sz w:val="32"/>
          <w:szCs w:val="32"/>
        </w:rPr>
        <w:t>苏振川、</w:t>
      </w:r>
      <w:r>
        <w:rPr>
          <w:rFonts w:hint="eastAsia" w:eastAsia="仿宋_GB2312" w:cs="仿宋_GB2312"/>
          <w:spacing w:val="-6"/>
          <w:sz w:val="32"/>
          <w:szCs w:val="32"/>
          <w:lang w:val="zh-CN"/>
        </w:rPr>
        <w:t>杜泽沣、杨继光、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吴建良</w:t>
      </w:r>
    </w:p>
    <w:p w14:paraId="2127DA25">
      <w:pPr>
        <w:pStyle w:val="15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pacing w:line="580" w:lineRule="exact"/>
        <w:ind w:left="0" w:leftChars="0" w:firstLine="643" w:firstLineChars="200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竞赛组委会办公室</w:t>
      </w:r>
    </w:p>
    <w:p w14:paraId="609FB864">
      <w:pPr>
        <w:widowControl w:val="0"/>
        <w:overflowPunct w:val="0"/>
        <w:spacing w:line="580" w:lineRule="exact"/>
        <w:ind w:left="3437" w:leftChars="329" w:hanging="2746" w:hangingChars="800"/>
        <w:rPr>
          <w:rFonts w:eastAsia="仿宋_GB2312" w:cs="仿宋_GB2312"/>
          <w:spacing w:val="11"/>
          <w:kern w:val="0"/>
          <w:sz w:val="32"/>
          <w:szCs w:val="32"/>
        </w:rPr>
      </w:pPr>
      <w:r>
        <w:rPr>
          <w:rFonts w:hint="eastAsia" w:eastAsia="仿宋_GB2312" w:cs="仿宋_GB2312"/>
          <w:b/>
          <w:bCs/>
          <w:spacing w:val="11"/>
          <w:kern w:val="0"/>
          <w:sz w:val="32"/>
          <w:szCs w:val="32"/>
        </w:rPr>
        <w:t>主</w:t>
      </w:r>
      <w:r>
        <w:rPr>
          <w:rFonts w:hint="eastAsia" w:eastAsia="仿宋_GB2312" w:cs="仿宋_GB2312"/>
          <w:b/>
          <w:bCs/>
          <w:spacing w:val="6"/>
          <w:sz w:val="32"/>
          <w:szCs w:val="32"/>
        </w:rPr>
        <w:t xml:space="preserve">  </w:t>
      </w:r>
      <w:r>
        <w:rPr>
          <w:rFonts w:hint="eastAsia" w:eastAsia="仿宋_GB2312" w:cs="仿宋_GB2312"/>
          <w:b/>
          <w:bCs/>
          <w:spacing w:val="11"/>
          <w:kern w:val="0"/>
          <w:sz w:val="32"/>
          <w:szCs w:val="32"/>
        </w:rPr>
        <w:t>任：</w:t>
      </w:r>
      <w:r>
        <w:rPr>
          <w:rFonts w:hint="eastAsia" w:eastAsia="仿宋_GB2312" w:cs="仿宋_GB2312"/>
          <w:spacing w:val="11"/>
          <w:kern w:val="0"/>
          <w:sz w:val="32"/>
          <w:szCs w:val="32"/>
        </w:rPr>
        <w:t>丁松柏</w:t>
      </w:r>
      <w:r>
        <w:rPr>
          <w:rFonts w:hint="eastAsia" w:eastAsia="仿宋_GB2312" w:cs="仿宋_GB2312"/>
          <w:spacing w:val="11"/>
          <w:kern w:val="0"/>
          <w:szCs w:val="21"/>
        </w:rPr>
        <w:t>（兼）</w:t>
      </w:r>
      <w:r>
        <w:rPr>
          <w:rFonts w:hint="eastAsia" w:eastAsia="仿宋_GB2312" w:cs="仿宋_GB2312"/>
          <w:kern w:val="0"/>
          <w:sz w:val="32"/>
          <w:szCs w:val="32"/>
        </w:rPr>
        <w:t>厦门市总工会劳动和经技工作部部长、</w:t>
      </w:r>
      <w:r>
        <w:rPr>
          <w:rFonts w:hint="eastAsia" w:eastAsia="仿宋_GB2312" w:cs="仿宋_GB2312"/>
          <w:spacing w:val="11"/>
          <w:kern w:val="0"/>
          <w:sz w:val="32"/>
          <w:szCs w:val="32"/>
        </w:rPr>
        <w:t>一级调研员</w:t>
      </w:r>
    </w:p>
    <w:p w14:paraId="76CAD842">
      <w:pPr>
        <w:pStyle w:val="15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spacing w:line="580" w:lineRule="exact"/>
        <w:ind w:left="3727" w:leftChars="304" w:hanging="3089" w:hangingChars="900"/>
        <w:rPr>
          <w:rFonts w:eastAsia="仿宋_GB2312" w:cs="仿宋_GB2312"/>
          <w:bCs/>
          <w:spacing w:val="11"/>
          <w:sz w:val="32"/>
          <w:szCs w:val="32"/>
        </w:rPr>
      </w:pPr>
      <w:r>
        <w:rPr>
          <w:rFonts w:hint="eastAsia" w:eastAsia="仿宋_GB2312" w:cs="仿宋_GB2312"/>
          <w:b/>
          <w:spacing w:val="11"/>
          <w:sz w:val="32"/>
          <w:szCs w:val="32"/>
        </w:rPr>
        <w:t>副主任：</w:t>
      </w:r>
      <w:r>
        <w:rPr>
          <w:rFonts w:hint="eastAsia" w:eastAsia="仿宋_GB2312" w:cs="仿宋_GB2312"/>
          <w:bCs/>
          <w:spacing w:val="11"/>
          <w:sz w:val="32"/>
          <w:szCs w:val="32"/>
        </w:rPr>
        <w:t>林共贺 自由贸易试验区厦门片区工会委员</w:t>
      </w:r>
    </w:p>
    <w:p w14:paraId="1F7812C3">
      <w:pPr>
        <w:pStyle w:val="15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spacing w:line="580" w:lineRule="exact"/>
        <w:ind w:left="3511" w:leftChars="1672" w:firstLine="0"/>
        <w:rPr>
          <w:rFonts w:eastAsia="仿宋_GB2312" w:cs="仿宋_GB2312"/>
          <w:bCs/>
          <w:spacing w:val="11"/>
          <w:sz w:val="32"/>
          <w:szCs w:val="32"/>
        </w:rPr>
      </w:pPr>
      <w:r>
        <w:rPr>
          <w:rFonts w:hint="eastAsia" w:eastAsia="仿宋_GB2312" w:cs="仿宋_GB2312"/>
          <w:bCs/>
          <w:spacing w:val="11"/>
          <w:sz w:val="32"/>
          <w:szCs w:val="32"/>
        </w:rPr>
        <w:t>常务副主席</w:t>
      </w:r>
    </w:p>
    <w:p w14:paraId="256D7E63">
      <w:pPr>
        <w:widowControl w:val="0"/>
        <w:overflowPunct w:val="0"/>
        <w:autoSpaceDE w:val="0"/>
        <w:autoSpaceDN w:val="0"/>
        <w:adjustRightInd w:val="0"/>
        <w:spacing w:line="580" w:lineRule="exact"/>
        <w:ind w:left="3227" w:leftChars="969" w:hanging="1192" w:hangingChars="400"/>
        <w:rPr>
          <w:rFonts w:hint="eastAsia" w:eastAsia="仿宋_GB2312" w:cs="仿宋_GB2312"/>
          <w:spacing w:val="11"/>
          <w:sz w:val="32"/>
          <w:szCs w:val="32"/>
          <w:lang w:val="zh-CN"/>
        </w:rPr>
      </w:pPr>
      <w:r>
        <w:rPr>
          <w:rFonts w:hint="eastAsia" w:eastAsia="仿宋_GB2312" w:cs="仿宋_GB2312"/>
          <w:spacing w:val="-11"/>
          <w:kern w:val="0"/>
          <w:sz w:val="32"/>
          <w:szCs w:val="32"/>
          <w:lang w:val="zh-CN"/>
        </w:rPr>
        <w:t>苏振川</w:t>
      </w:r>
      <w:r>
        <w:rPr>
          <w:rFonts w:hint="eastAsia" w:eastAsia="仿宋_GB2312" w:cs="仿宋_GB2312"/>
          <w:spacing w:val="-11"/>
          <w:kern w:val="0"/>
          <w:sz w:val="32"/>
          <w:szCs w:val="32"/>
        </w:rPr>
        <w:t xml:space="preserve"> </w:t>
      </w:r>
      <w:r>
        <w:rPr>
          <w:rFonts w:hint="eastAsia" w:eastAsia="仿宋_GB2312" w:cs="仿宋_GB2312"/>
          <w:spacing w:val="-11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仿宋_GB2312"/>
          <w:spacing w:val="-11"/>
          <w:kern w:val="0"/>
          <w:sz w:val="32"/>
          <w:szCs w:val="32"/>
          <w:lang w:val="zh-CN"/>
        </w:rPr>
        <w:t>厦门市总工会劳动和经技工作部二级调研员</w:t>
      </w:r>
    </w:p>
    <w:p w14:paraId="223D2827">
      <w:pPr>
        <w:pStyle w:val="15"/>
        <w:widowControl w:val="0"/>
        <w:overflowPunct w:val="0"/>
        <w:spacing w:line="580" w:lineRule="exact"/>
        <w:ind w:left="3403" w:leftChars="969" w:hanging="1368" w:hangingChars="400"/>
        <w:rPr>
          <w:rFonts w:eastAsia="仿宋_GB2312" w:cs="仿宋_GB2312"/>
          <w:spacing w:val="11"/>
          <w:sz w:val="32"/>
          <w:szCs w:val="32"/>
          <w:lang w:val="zh-CN"/>
        </w:rPr>
      </w:pPr>
      <w:r>
        <w:rPr>
          <w:rFonts w:hint="eastAsia" w:eastAsia="仿宋_GB2312" w:cs="仿宋_GB2312"/>
          <w:spacing w:val="11"/>
          <w:sz w:val="32"/>
          <w:szCs w:val="32"/>
          <w:lang w:val="zh-CN"/>
        </w:rPr>
        <w:t>张晓炜</w:t>
      </w:r>
      <w:r>
        <w:rPr>
          <w:rFonts w:hint="eastAsia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eastAsia="仿宋_GB2312" w:cs="仿宋_GB2312"/>
          <w:spacing w:val="11"/>
          <w:sz w:val="32"/>
          <w:szCs w:val="32"/>
          <w:lang w:val="zh-CN"/>
        </w:rPr>
        <w:t>厦门市运输事业发展中心党委委员、</w:t>
      </w:r>
    </w:p>
    <w:p w14:paraId="753F20AE">
      <w:pPr>
        <w:pStyle w:val="15"/>
        <w:widowControl w:val="0"/>
        <w:overflowPunct w:val="0"/>
        <w:spacing w:line="580" w:lineRule="exact"/>
        <w:ind w:left="3312" w:leftChars="1577" w:firstLine="0"/>
        <w:rPr>
          <w:rFonts w:eastAsia="仿宋_GB2312" w:cs="仿宋_GB2312"/>
          <w:spacing w:val="11"/>
          <w:sz w:val="32"/>
          <w:szCs w:val="32"/>
          <w:lang w:val="zh-CN"/>
        </w:rPr>
      </w:pPr>
      <w:r>
        <w:rPr>
          <w:rFonts w:hint="eastAsia" w:eastAsia="仿宋_GB2312" w:cs="仿宋_GB2312"/>
          <w:spacing w:val="11"/>
          <w:sz w:val="32"/>
          <w:szCs w:val="32"/>
          <w:lang w:val="zh-CN"/>
        </w:rPr>
        <w:t>副主任</w:t>
      </w:r>
    </w:p>
    <w:p w14:paraId="0694CA1A">
      <w:pPr>
        <w:pStyle w:val="15"/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bCs/>
          <w:spacing w:val="11"/>
          <w:sz w:val="32"/>
          <w:szCs w:val="32"/>
        </w:rPr>
        <w:t>李  晏、许潇君、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吴建良</w:t>
      </w:r>
    </w:p>
    <w:p w14:paraId="1D9645DC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为加强本次竞赛各项工作的日常组织、协调与管理，在竞赛组委会领导下，按照相关工作要求，成立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shd w:val="clear" w:color="auto" w:fill="FFFFFF"/>
        </w:rPr>
        <w:t>竞赛执行委员会（以下简称“竞赛执委会”）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，负责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赛事组织协调、技术实施、后勤服务、健康安全服务保障等工作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shd w:val="clear" w:color="auto" w:fill="FFFFFF"/>
        </w:rPr>
        <w:t>具体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组成如下：</w:t>
      </w:r>
    </w:p>
    <w:p w14:paraId="51D7C24E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（三）竞赛执委会</w:t>
      </w:r>
    </w:p>
    <w:bookmarkEnd w:id="2"/>
    <w:p w14:paraId="78B91290">
      <w:pPr>
        <w:pStyle w:val="15"/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主  任：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吴建良 </w:t>
      </w:r>
      <w:bookmarkStart w:id="4" w:name="OLE_LINK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厦门市集装箱运输协会</w:t>
      </w:r>
      <w:bookmarkEnd w:id="4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秘书长</w:t>
      </w:r>
    </w:p>
    <w:p w14:paraId="36F005EE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副主任：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 xml:space="preserve">蔡敦煌 自贸片区集装箱运输企业工会联合会主席       </w:t>
      </w:r>
    </w:p>
    <w:p w14:paraId="1AC77F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委  员：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许书毅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陈朝红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林庆芳、李济新、李东军、</w:t>
      </w:r>
    </w:p>
    <w:p w14:paraId="16DA82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王金华、苏小玉、梁小卿</w:t>
      </w:r>
    </w:p>
    <w:p w14:paraId="199EB743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  <w:highlight w:val="none"/>
        </w:rPr>
        <w:t>执委会下设综合部、赛务部、技术部、申诉受理部、后勤保障部。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执委会办公室设在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厦门市集装箱运输协会（东渡路127号），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0592-6029582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19FF86AB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80" w:lineRule="exact"/>
        <w:ind w:firstLine="640" w:firstLineChars="200"/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二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、竞赛安排</w:t>
      </w:r>
    </w:p>
    <w:p w14:paraId="408A0F76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（一）竞赛项目</w:t>
      </w:r>
    </w:p>
    <w:p w14:paraId="05D902AC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道路货运汽车司机</w:t>
      </w:r>
    </w:p>
    <w:p w14:paraId="2DD52C95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（二）竞赛标准</w:t>
      </w:r>
    </w:p>
    <w:p w14:paraId="21CBCE09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firstLine="684" w:firstLineChars="20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bidi="ar"/>
        </w:rPr>
        <w:t>按国家职业标准四级（中级工）以上技能要求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进行。竞赛内容由理论知识和操作技能两部分组成，总成绩中理论考试成绩占30%、实际操作成绩占70%。理论知识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采用笔试办法，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操作技能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试题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技术专家命题组根据国家职业标准，结合厦门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公路运输发展方向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符合从业人员适应实际生产和作业技能的需求，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适当增加相关新知识、新技术、新设备、新技能等内容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进行命制。</w:t>
      </w:r>
    </w:p>
    <w:p w14:paraId="71E578EF"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adjustRightInd w:val="0"/>
        <w:snapToGrid w:val="0"/>
        <w:spacing w:line="58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竞赛内容</w:t>
      </w:r>
    </w:p>
    <w:p w14:paraId="14B636D9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line="580" w:lineRule="exact"/>
        <w:ind w:left="636" w:leftChars="303" w:firstLine="3" w:firstLineChars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本次竞赛内容：理论知识考试和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操作技能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。</w:t>
      </w:r>
    </w:p>
    <w:p w14:paraId="134BD4D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spacing w:before="0" w:beforeAutospacing="0" w:after="0" w:afterAutospacing="0" w:line="580" w:lineRule="exact"/>
        <w:ind w:left="0" w:leftChars="0" w:right="0" w:firstLine="640" w:firstLineChars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理论知识考试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考试内容：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防御性驾驶、常见故障判断、港区作业安全规定等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知识竞赛，主要考察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行车安全意识、风险防范与应对处理、车辆日常保养等知识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。</w:t>
      </w:r>
    </w:p>
    <w:p w14:paraId="6917245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spacing w:before="0" w:beforeAutospacing="0" w:after="0" w:afterAutospacing="0" w:line="580" w:lineRule="exact"/>
        <w:ind w:left="0" w:leftChars="0" w:right="0" w:firstLine="639" w:firstLineChars="193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highlight w:val="none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操作技能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竞赛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highlight w:val="none"/>
          <w:shd w:val="clear" w:fill="FFFFFF"/>
          <w:lang w:val="en-US" w:eastAsia="zh-CN"/>
        </w:rPr>
        <w:t>参赛选手驾驶集装箱牵引车按照规定动作、科目进行竞赛，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操作技能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highlight w:val="none"/>
          <w:shd w:val="clear" w:fill="FFFFFF"/>
          <w:lang w:val="en-US" w:eastAsia="zh-CN"/>
        </w:rPr>
        <w:t>科目设计贴近日常工作的操作，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highlight w:val="none"/>
          <w:shd w:val="clear" w:fill="FFFFFF"/>
        </w:rPr>
        <w:t>重在考察选手的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highlight w:val="none"/>
          <w:shd w:val="clear" w:fill="FFFFFF"/>
          <w:lang w:val="en-US" w:eastAsia="zh-CN"/>
        </w:rPr>
        <w:t>安全意识、规范操作及熟练掌握劳动技能。</w:t>
      </w:r>
    </w:p>
    <w:p w14:paraId="53E113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80" w:lineRule="exact"/>
        <w:ind w:firstLine="687" w:firstLineChars="200"/>
        <w:rPr>
          <w:rFonts w:hint="eastAsia" w:ascii="楷体" w:hAnsi="楷体" w:eastAsia="楷体" w:cs="楷体"/>
          <w:b/>
          <w:bCs/>
          <w:color w:val="auto"/>
          <w:spacing w:val="1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pacing w:val="11"/>
          <w:sz w:val="32"/>
          <w:szCs w:val="32"/>
        </w:rPr>
        <w:t>（三）计分方法</w:t>
      </w:r>
    </w:p>
    <w:p w14:paraId="2CAFCE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80" w:lineRule="exact"/>
        <w:ind w:firstLine="684" w:firstLineChars="200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竞赛成绩以百分制计分，由理论知识考试和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操作技能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两部分成绩加权合成。竞赛成绩仅作排名依据，当届竞赛有效；各项评定综合成绩相同时，原则上以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操作技能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竞赛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成绩高者为先，若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操作技能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竞赛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成绩也相同时，原则上以时间优先者为先，不设并列名次。</w:t>
      </w:r>
    </w:p>
    <w:p w14:paraId="55CDF50F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（四）参赛条件</w:t>
      </w:r>
    </w:p>
    <w:p w14:paraId="6434A7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80" w:lineRule="exact"/>
        <w:ind w:firstLine="684" w:firstLineChars="200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</w:pPr>
      <w:bookmarkStart w:id="5" w:name="OLE_LINK42"/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zh-CN"/>
        </w:rPr>
        <w:t>本市辖区内各用人单位的在职技能劳动者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；</w:t>
      </w:r>
    </w:p>
    <w:bookmarkEnd w:id="5"/>
    <w:p w14:paraId="3E4253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80" w:lineRule="exact"/>
        <w:ind w:firstLine="684" w:firstLineChars="200"/>
        <w:rPr>
          <w:rFonts w:hint="eastAsia" w:ascii="仿宋_GB2312" w:hAnsi="仿宋_GB2312" w:eastAsia="仿宋_GB2312" w:cs="仿宋_GB2312"/>
          <w:color w:val="auto"/>
          <w:spacing w:val="11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zh-CN"/>
        </w:rPr>
        <w:t>参赛选手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shd w:val="clear" w:color="auto" w:fill="FFFFFF"/>
        </w:rPr>
        <w:t>应持有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shd w:val="clear" w:color="auto" w:fill="FFFFFF"/>
          <w:lang w:val="en-US" w:eastAsia="zh-CN"/>
        </w:rPr>
        <w:t>有效A2驾驶证，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shd w:val="clear" w:color="auto" w:fill="FFFFFF"/>
        </w:rPr>
        <w:t>从事本职业工作3年以上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shd w:val="clear" w:color="auto" w:fill="FFFFFF"/>
          <w:lang w:eastAsia="zh-CN"/>
        </w:rPr>
        <w:t>；</w:t>
      </w:r>
    </w:p>
    <w:p w14:paraId="28B963E6">
      <w:pPr>
        <w:pStyle w:val="15"/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left="0" w:leftChars="0" w:firstLine="684" w:firstLineChars="200"/>
        <w:rPr>
          <w:rStyle w:val="13"/>
          <w:rFonts w:hint="eastAsia" w:ascii="仿宋_GB2312" w:hAnsi="仿宋_GB2312" w:eastAsia="仿宋_GB2312" w:cs="仿宋_GB2312"/>
          <w:i w:val="0"/>
          <w:color w:val="auto"/>
          <w:spacing w:val="1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已在全国竞赛获得前三名和省、市级竞赛中获得第一名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eastAsia="zh-CN"/>
        </w:rPr>
        <w:t>，</w:t>
      </w:r>
      <w:r>
        <w:rPr>
          <w:rStyle w:val="13"/>
          <w:rFonts w:hint="eastAsia" w:ascii="仿宋_GB2312" w:hAnsi="仿宋_GB2312" w:eastAsia="仿宋_GB2312" w:cs="仿宋_GB2312"/>
          <w:i w:val="0"/>
          <w:color w:val="auto"/>
          <w:spacing w:val="11"/>
          <w:sz w:val="32"/>
          <w:szCs w:val="32"/>
          <w:shd w:val="clear" w:color="auto" w:fill="FFFFFF"/>
        </w:rPr>
        <w:t>已获得“中华技能大奖”“全国技术能手”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32"/>
          <w:szCs w:val="32"/>
          <w:lang w:bidi="ar"/>
        </w:rPr>
        <w:t>“福建省技术能手”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“福建省金牌工人”“厦门行业（数字）工匠”</w:t>
      </w:r>
      <w:r>
        <w:rPr>
          <w:rStyle w:val="13"/>
          <w:rFonts w:hint="eastAsia" w:ascii="仿宋_GB2312" w:hAnsi="仿宋_GB2312" w:eastAsia="仿宋_GB2312" w:cs="仿宋_GB2312"/>
          <w:i w:val="0"/>
          <w:color w:val="auto"/>
          <w:spacing w:val="11"/>
          <w:sz w:val="32"/>
          <w:szCs w:val="32"/>
          <w:shd w:val="clear" w:color="auto" w:fill="FFFFFF"/>
        </w:rPr>
        <w:t>等国家级、省级、市级荣誉称号的人员，不再报名参加本次竞赛</w:t>
      </w:r>
      <w:r>
        <w:rPr>
          <w:rStyle w:val="13"/>
          <w:rFonts w:hint="eastAsia" w:ascii="仿宋_GB2312" w:hAnsi="仿宋_GB2312" w:eastAsia="仿宋_GB2312" w:cs="仿宋_GB2312"/>
          <w:i w:val="0"/>
          <w:color w:val="auto"/>
          <w:spacing w:val="11"/>
          <w:sz w:val="32"/>
          <w:szCs w:val="32"/>
          <w:shd w:val="clear" w:color="auto" w:fill="FFFFFF"/>
          <w:lang w:eastAsia="zh-CN"/>
        </w:rPr>
        <w:t>；</w:t>
      </w:r>
    </w:p>
    <w:p w14:paraId="5E87D0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本次竞赛参赛队伍一般不少于5支，参赛选手原则不少于40人，每个单位限派一支队伍，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每支参赛队伍不超过8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，报名人数未达到参赛人数要求的不予开赛，报名人数超出规定人数上限的，根据实际情况举办预赛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（预赛前将预赛方案上报组委会备案）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 w14:paraId="1F5E21C7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（五）参赛报名</w:t>
      </w:r>
    </w:p>
    <w:p w14:paraId="666EA883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1.报名时间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2025年8月11日-9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17：00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止</w:t>
      </w:r>
    </w:p>
    <w:p w14:paraId="6DDA9D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  <w:lang w:eastAsia="zh-CN"/>
        </w:rPr>
      </w:pPr>
      <w:bookmarkStart w:id="6" w:name="OLE_LINK50"/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2.报名地点：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  <w:lang w:val="en-US" w:eastAsia="zh-CN"/>
        </w:rPr>
        <w:t>厦门市集装箱运输协会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  <w:lang w:val="en-US" w:eastAsia="zh-CN"/>
        </w:rPr>
        <w:t>东渡路127号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  <w:lang w:eastAsia="zh-CN"/>
        </w:rPr>
        <w:t>）</w:t>
      </w:r>
    </w:p>
    <w:p w14:paraId="077F17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3.联 系 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蔡敦煌</w:t>
      </w:r>
    </w:p>
    <w:p w14:paraId="4AF294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4.联系电话：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0592-6029582</w:t>
      </w:r>
    </w:p>
    <w:p w14:paraId="41A4B714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5.邮    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caidhxm@126.com</w:t>
      </w:r>
      <w:bookmarkEnd w:id="6"/>
    </w:p>
    <w:p w14:paraId="30214746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.报名材料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：</w:t>
      </w:r>
    </w:p>
    <w:p w14:paraId="7E905D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《报名表》1份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;</w:t>
      </w:r>
    </w:p>
    <w:p w14:paraId="549754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身份证复印件1份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;</w:t>
      </w:r>
    </w:p>
    <w:p w14:paraId="4EB8E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证书及职称复印件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48CBD6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7" w:name="OLE_LINK5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各参赛队将汇总表及选手报名表 (详见附件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)电子文档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（盖章转PDF和word版）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上述邮箱；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纸质文档报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送上述地点。</w:t>
      </w:r>
      <w:bookmarkEnd w:id="7"/>
    </w:p>
    <w:p w14:paraId="17BBB2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80" w:lineRule="exact"/>
        <w:ind w:firstLine="687" w:firstLineChars="200"/>
        <w:rPr>
          <w:rFonts w:eastAsia="楷体_GB2312" w:cs="楷体_GB2312"/>
          <w:b/>
          <w:bCs/>
          <w:color w:val="auto"/>
          <w:spacing w:val="11"/>
          <w:kern w:val="0"/>
          <w:sz w:val="32"/>
          <w:szCs w:val="32"/>
        </w:rPr>
      </w:pPr>
      <w:r>
        <w:rPr>
          <w:rFonts w:hint="eastAsia" w:eastAsia="楷体_GB2312" w:cs="楷体_GB2312"/>
          <w:b/>
          <w:bCs/>
          <w:color w:val="auto"/>
          <w:spacing w:val="11"/>
          <w:kern w:val="0"/>
          <w:sz w:val="32"/>
          <w:szCs w:val="32"/>
        </w:rPr>
        <w:t>（六）竞赛时间和地点</w:t>
      </w:r>
    </w:p>
    <w:p w14:paraId="7DBF25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80" w:lineRule="exact"/>
        <w:ind w:firstLine="687" w:firstLineChars="200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highlight w:val="none"/>
        </w:rPr>
        <w:t>1．时间：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highlight w:val="none"/>
        </w:rPr>
        <w:t>日</w:t>
      </w:r>
    </w:p>
    <w:p w14:paraId="6AE5D66F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firstLine="687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</w:rPr>
        <w:t>2．地点：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厦门市海沧区保税港区东查验中心</w:t>
      </w:r>
    </w:p>
    <w:p w14:paraId="1528264F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、奖励办法</w:t>
      </w:r>
    </w:p>
    <w:p w14:paraId="354B2F2D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80" w:lineRule="exact"/>
        <w:ind w:firstLine="68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8" w:name="OLE_LINK35"/>
      <w:bookmarkStart w:id="9" w:name="OLE_LINK20"/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Hans"/>
        </w:rPr>
        <w:t>获得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个人第一名至第六名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shd w:val="clear" w:color="auto" w:fill="FFFFFF"/>
        </w:rPr>
        <w:t>优胜奖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选手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shd w:val="clear" w:color="auto" w:fill="FFFFFF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本项目竞赛组委会给予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一次性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奖励（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10个工作日内发放到位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</w:t>
      </w:r>
      <w:bookmarkEnd w:id="8"/>
      <w:bookmarkEnd w:id="9"/>
      <w:bookmarkStart w:id="10" w:name="OLE_LINK29"/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shd w:val="clear" w:color="auto" w:fill="FFFFFF"/>
          <w:lang w:eastAsia="zh-Hans"/>
        </w:rPr>
        <w:t>其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eastAsia="zh-Hans"/>
        </w:rPr>
        <w:t>中：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shd w:val="clear" w:color="auto" w:fill="FFFFFF"/>
        </w:rPr>
        <w:t>第1名选手奖励5000元/人，第2-3名选手分别奖励4000元/人，第4-6名选手分别奖励3000元/人，</w:t>
      </w:r>
      <w:bookmarkStart w:id="11" w:name="OLE_LINK34"/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shd w:val="clear" w:color="auto" w:fill="FFFFFF"/>
        </w:rPr>
        <w:t>优胜奖</w:t>
      </w:r>
      <w:bookmarkEnd w:id="11"/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shd w:val="clear" w:color="auto" w:fill="FFFFFF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shd w:val="clear" w:color="auto" w:fill="FFFFFF"/>
        </w:rPr>
        <w:t>500元/人</w:t>
      </w:r>
      <w:bookmarkStart w:id="12" w:name="OLE_LINK32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，以上奖金均为税前金额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shd w:val="clear" w:color="auto" w:fill="FFFFFF"/>
        </w:rPr>
        <w:t>。</w:t>
      </w:r>
    </w:p>
    <w:bookmarkEnd w:id="10"/>
    <w:bookmarkEnd w:id="12"/>
    <w:p w14:paraId="24A48838">
      <w:pPr>
        <w:pStyle w:val="15"/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left="0" w:leftChars="0" w:firstLine="684" w:firstLineChars="200"/>
        <w:rPr>
          <w:rFonts w:hint="eastAsia" w:ascii="仿宋_GB2312" w:hAnsi="仿宋_GB2312" w:eastAsia="仿宋_GB2312" w:cs="仿宋_GB2312"/>
          <w:color w:val="auto"/>
        </w:rPr>
      </w:pPr>
      <w:bookmarkStart w:id="13" w:name="OLE_LINK36"/>
      <w:bookmarkStart w:id="14" w:name="OLE_LINK33"/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eastAsia="zh-Hans"/>
        </w:rPr>
        <w:t>对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获得市级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eastAsia="zh-Hans"/>
        </w:rPr>
        <w:t>技能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竞赛第一名的选手授予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eastAsia="zh-Hans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厦门行业工匠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eastAsia="zh-Hans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，</w:t>
      </w:r>
      <w:bookmarkStart w:id="15" w:name="OLE_LINK30"/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已获得相应称号的不再重复授予或认定。</w:t>
      </w:r>
      <w:bookmarkEnd w:id="13"/>
    </w:p>
    <w:bookmarkEnd w:id="14"/>
    <w:bookmarkEnd w:id="15"/>
    <w:p w14:paraId="2F2BCE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80" w:lineRule="exact"/>
        <w:ind w:firstLine="684" w:firstLineChars="200"/>
        <w:rPr>
          <w:rFonts w:hint="eastAsia" w:ascii="仿宋_GB2312" w:hAnsi="仿宋_GB2312" w:eastAsia="仿宋_GB2312" w:cs="仿宋_GB2312"/>
          <w:color w:val="auto"/>
          <w:spacing w:val="8"/>
          <w:sz w:val="32"/>
        </w:rPr>
      </w:pPr>
      <w:bookmarkStart w:id="16" w:name="OLE_LINK21"/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奖项设置其他未尽事宜，按照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zh-CN"/>
        </w:rPr>
        <w:t>《厦门市职工劳动和技能竞赛管理办法》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</w:rPr>
        <w:t>（厦工〔2025〕13号）的规定执行。</w:t>
      </w:r>
      <w:bookmarkEnd w:id="16"/>
    </w:p>
    <w:p w14:paraId="46221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06" w:leftChars="304" w:hanging="1368" w:hangingChars="400"/>
        <w:textAlignment w:val="auto"/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lang w:val="en-US" w:eastAsia="zh-CN" w:bidi="ar-SA"/>
        </w:rPr>
        <w:t>1.</w:t>
      </w:r>
      <w:bookmarkStart w:id="17" w:name="OLE_LINK39"/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lang w:val="en-US" w:eastAsia="zh-CN" w:bidi="ar-SA"/>
        </w:rPr>
        <w:t>厦门市第三十一届职工技能大赛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道路货运汽车司机</w:t>
      </w: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lang w:val="en-US" w:eastAsia="zh-CN" w:bidi="ar-SA"/>
        </w:rPr>
        <w:t>技能竞赛</w:t>
      </w:r>
      <w:bookmarkEnd w:id="17"/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lang w:val="en-US" w:eastAsia="zh-CN" w:bidi="ar-SA"/>
        </w:rPr>
        <w:t>代表队汇总表</w:t>
      </w:r>
    </w:p>
    <w:p w14:paraId="2A3EF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lang w:val="en-US" w:eastAsia="zh-CN" w:bidi="ar-SA"/>
        </w:rPr>
        <w:t>2.厦门市第三十一届职工技能大赛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道路货运汽车司机</w:t>
      </w: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lang w:val="en-US" w:eastAsia="zh-CN" w:bidi="ar-SA"/>
        </w:rPr>
        <w:t>技能竞赛选手报名表</w:t>
      </w:r>
    </w:p>
    <w:p w14:paraId="5B84E44C">
      <w:pPr>
        <w:widowControl w:val="0"/>
        <w:overflowPunct w:val="0"/>
        <w:spacing w:line="580" w:lineRule="atLeast"/>
        <w:ind w:firstLine="684" w:firstLineChars="200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</w:p>
    <w:p w14:paraId="3F6C1F24">
      <w:pPr>
        <w:spacing w:line="580" w:lineRule="atLeast"/>
        <w:jc w:val="left"/>
        <w:outlineLvl w:val="0"/>
        <w:rPr>
          <w:rFonts w:hint="eastAsia" w:ascii="仿宋_GB2312" w:hAnsi="仿宋_GB2312" w:eastAsia="仿宋_GB2312" w:cs="仿宋_GB2312"/>
          <w:color w:val="auto"/>
          <w:szCs w:val="32"/>
        </w:rPr>
      </w:pPr>
    </w:p>
    <w:p w14:paraId="7198EC00">
      <w:pPr>
        <w:spacing w:line="580" w:lineRule="atLeast"/>
        <w:jc w:val="left"/>
        <w:outlineLvl w:val="0"/>
        <w:rPr>
          <w:rFonts w:hint="eastAsia" w:ascii="仿宋_GB2312" w:hAnsi="仿宋_GB2312" w:eastAsia="仿宋_GB2312" w:cs="仿宋_GB2312"/>
          <w:color w:val="auto"/>
          <w:szCs w:val="32"/>
        </w:rPr>
      </w:pPr>
    </w:p>
    <w:p w14:paraId="21983AD4">
      <w:pPr>
        <w:spacing w:line="580" w:lineRule="atLeast"/>
        <w:jc w:val="left"/>
        <w:outlineLvl w:val="0"/>
        <w:rPr>
          <w:rFonts w:hint="eastAsia" w:ascii="仿宋_GB2312" w:hAnsi="仿宋_GB2312" w:eastAsia="仿宋_GB2312" w:cs="仿宋_GB2312"/>
          <w:color w:val="auto"/>
          <w:szCs w:val="32"/>
        </w:rPr>
      </w:pPr>
    </w:p>
    <w:p w14:paraId="13553F26">
      <w:pPr>
        <w:widowControl w:val="0"/>
        <w:overflowPunct w:val="0"/>
        <w:adjustRightInd w:val="0"/>
        <w:snapToGrid w:val="0"/>
        <w:spacing w:line="580" w:lineRule="atLeast"/>
        <w:ind w:firstLine="3520" w:firstLineChars="1100"/>
        <w:textAlignment w:val="top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厦门市交通运输局 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bidi="en-US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厦门市总工会</w:t>
      </w:r>
    </w:p>
    <w:p w14:paraId="34A09AC2">
      <w:pPr>
        <w:spacing w:line="580" w:lineRule="atLeast"/>
        <w:ind w:firstLine="616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bidi="en-US"/>
        </w:rPr>
        <w:t xml:space="preserve">                           2025年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 w:bidi="en-US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bidi="en-US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 w:bidi="en-US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bidi="en-US"/>
        </w:rPr>
        <w:t>日</w:t>
      </w:r>
    </w:p>
    <w:p w14:paraId="629B840F">
      <w:pPr>
        <w:spacing w:line="580" w:lineRule="atLeast"/>
        <w:jc w:val="left"/>
        <w:outlineLvl w:val="0"/>
        <w:rPr>
          <w:rFonts w:hint="eastAsia" w:ascii="仿宋_GB2312" w:hAnsi="仿宋_GB2312" w:eastAsia="仿宋_GB2312" w:cs="仿宋_GB2312"/>
          <w:color w:val="auto"/>
          <w:szCs w:val="32"/>
        </w:rPr>
        <w:sectPr>
          <w:footerReference r:id="rId3" w:type="default"/>
          <w:pgSz w:w="11906" w:h="16838"/>
          <w:pgMar w:top="1928" w:right="1531" w:bottom="1191" w:left="1474" w:header="851" w:footer="1417" w:gutter="0"/>
          <w:cols w:space="0" w:num="1"/>
          <w:rtlGutter w:val="0"/>
          <w:docGrid w:type="lines" w:linePitch="312" w:charSpace="0"/>
        </w:sectPr>
      </w:pPr>
    </w:p>
    <w:bookmarkEnd w:id="0"/>
    <w:p w14:paraId="488BEC4B">
      <w:pPr>
        <w:jc w:val="left"/>
        <w:outlineLvl w:val="0"/>
        <w:rPr>
          <w:color w:val="auto"/>
        </w:rPr>
      </w:pPr>
      <w:bookmarkStart w:id="18" w:name="_Toc24016"/>
      <w:bookmarkStart w:id="19" w:name="_Toc1062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bookmarkEnd w:id="18"/>
      <w:bookmarkEnd w:id="19"/>
      <w:r>
        <w:rPr>
          <w:rFonts w:hint="eastAsia" w:ascii="黑体" w:hAnsi="黑体" w:eastAsia="黑体" w:cs="黑体"/>
          <w:color w:val="auto"/>
          <w:sz w:val="32"/>
          <w:szCs w:val="32"/>
        </w:rPr>
        <w:t>1</w:t>
      </w:r>
    </w:p>
    <w:p w14:paraId="3AB1E012">
      <w:pPr>
        <w:spacing w:line="440" w:lineRule="exact"/>
        <w:ind w:firstLine="320" w:firstLineChars="100"/>
        <w:jc w:val="center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lang w:val="en-US" w:eastAsia="zh-CN"/>
        </w:rPr>
        <w:t>厦门市第三十一届职工技能大赛道路货运汽车司机技能竞赛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  <w:t>代表队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lang w:val="en-US" w:eastAsia="zh-CN"/>
        </w:rPr>
        <w:t>汇总表</w:t>
      </w:r>
    </w:p>
    <w:p w14:paraId="0344428F">
      <w:pPr>
        <w:spacing w:line="440" w:lineRule="exact"/>
        <w:ind w:firstLine="24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>代表队：XX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 xml:space="preserve">代表队 （公章）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 xml:space="preserve">              </w:t>
      </w:r>
    </w:p>
    <w:tbl>
      <w:tblPr>
        <w:tblStyle w:val="10"/>
        <w:tblpPr w:leftFromText="180" w:rightFromText="180" w:vertAnchor="text" w:horzAnchor="margin" w:tblpXSpec="center" w:tblpY="146"/>
        <w:tblOverlap w:val="never"/>
        <w:tblW w:w="14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197"/>
        <w:gridCol w:w="1045"/>
        <w:gridCol w:w="1011"/>
        <w:gridCol w:w="1551"/>
        <w:gridCol w:w="2878"/>
        <w:gridCol w:w="1988"/>
        <w:gridCol w:w="3343"/>
      </w:tblGrid>
      <w:tr w14:paraId="49F5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B1A0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DC6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8F6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08A7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8713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9FA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身份证号码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8E9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手机号码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8B9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所在单位</w:t>
            </w:r>
          </w:p>
        </w:tc>
      </w:tr>
      <w:tr w14:paraId="3CB9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ED0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领队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DDBD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09F3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3411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10128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12D2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98620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E45A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5297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F34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选手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F582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29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5A971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1AA3E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A1E9B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65E07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6152A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5E99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DF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5A2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286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CDC79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BDDC8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521FA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8A439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B381B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6BFC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BA0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ECD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653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06879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C959E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9F49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B421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85918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1B9C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7B4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4F53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A33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8D8FF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C9B0F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92376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FC195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8F801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40E9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70CC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DE94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DA1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FE591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8B5E4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75043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043CD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DDFD1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4D6B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208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A9B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5A3B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091FC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7F5EA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F4B24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2E7F8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8FB78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2FAF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1B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DA2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D1A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5609F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31C3A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46AB8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E78F5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0DC7D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</w:tbl>
    <w:p w14:paraId="6E94B0DD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</w:pPr>
    </w:p>
    <w:p w14:paraId="6D840801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 xml:space="preserve">联系人：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 xml:space="preserve">      联系电话：  </w:t>
      </w:r>
    </w:p>
    <w:p w14:paraId="43B75D6B">
      <w:pPr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20" w:name="_Toc32766"/>
      <w:bookmarkStart w:id="21" w:name="_Toc8907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bookmarkEnd w:id="20"/>
      <w:bookmarkEnd w:id="2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 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 xml:space="preserve"> </w:t>
      </w:r>
    </w:p>
    <w:p w14:paraId="39A7662A">
      <w:pPr>
        <w:spacing w:line="3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</w:pPr>
      <w:bookmarkStart w:id="22" w:name="_Toc18748"/>
      <w:bookmarkStart w:id="23" w:name="_Toc2215"/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厦门市第三十一届职工技能大赛</w:t>
      </w:r>
    </w:p>
    <w:p w14:paraId="3F0A5662">
      <w:pPr>
        <w:spacing w:line="360" w:lineRule="exact"/>
        <w:jc w:val="center"/>
        <w:outlineLvl w:val="0"/>
        <w:rPr>
          <w:rFonts w:hint="eastAsia" w:ascii="仿宋" w:hAnsi="仿宋" w:eastAsia="仿宋"/>
          <w:color w:val="auto"/>
          <w:kern w:val="2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  <w:t>道路货运汽车司机技能竞赛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kern w:val="2"/>
          <w:sz w:val="32"/>
          <w:szCs w:val="32"/>
        </w:rPr>
        <w:t>选手报名表</w:t>
      </w:r>
      <w:bookmarkEnd w:id="22"/>
      <w:bookmarkEnd w:id="23"/>
    </w:p>
    <w:p w14:paraId="59477AF6">
      <w:pPr>
        <w:spacing w:line="320" w:lineRule="exact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      </w:t>
      </w:r>
    </w:p>
    <w:tbl>
      <w:tblPr>
        <w:tblStyle w:val="10"/>
        <w:tblpPr w:leftFromText="180" w:rightFromText="180" w:vertAnchor="text" w:horzAnchor="page" w:tblpXSpec="center" w:tblpY="180"/>
        <w:tblOverlap w:val="never"/>
        <w:tblW w:w="95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7"/>
        <w:gridCol w:w="1200"/>
        <w:gridCol w:w="722"/>
        <w:gridCol w:w="827"/>
        <w:gridCol w:w="1189"/>
        <w:gridCol w:w="1626"/>
        <w:gridCol w:w="2097"/>
      </w:tblGrid>
      <w:tr w14:paraId="04543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0AFD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69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605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0C19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457B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02D5AD">
            <w:pPr>
              <w:widowControl/>
              <w:tabs>
                <w:tab w:val="left" w:pos="342"/>
                <w:tab w:val="center" w:pos="679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8EBA2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A4BA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二寸</w:t>
            </w:r>
          </w:p>
          <w:p w14:paraId="757CC6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照片</w:t>
            </w:r>
          </w:p>
        </w:tc>
      </w:tr>
      <w:tr w14:paraId="2333F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BF14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7504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6FB5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1D3E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DB077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C28A5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E73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67CCC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45C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F64F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D61D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63B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BB6B5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EC90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8E3F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606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133C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6DDC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D867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2195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F6C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09AC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457B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7F91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041AC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1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8B7C6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31D386"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CBE3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8D51C">
            <w:pPr>
              <w:widowControl/>
              <w:ind w:left="4096" w:hanging="4096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</w:t>
            </w:r>
          </w:p>
          <w:p w14:paraId="418382A2">
            <w:pPr>
              <w:widowControl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年以上的；</w:t>
            </w:r>
          </w:p>
          <w:p w14:paraId="01536267">
            <w:pPr>
              <w:widowControl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□持有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有效A2驾驶证。</w:t>
            </w:r>
          </w:p>
          <w:p w14:paraId="113A62BF">
            <w:pPr>
              <w:widowControl/>
              <w:ind w:firstLine="48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2DAB1A02">
            <w:pPr>
              <w:widowControl/>
              <w:ind w:firstLine="4560" w:firstLineChars="190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填表人（签字）：           年   月  日</w:t>
            </w:r>
          </w:p>
        </w:tc>
      </w:tr>
      <w:tr w14:paraId="5581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ED12C3">
            <w:pPr>
              <w:widowControl/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38894E75">
            <w:pPr>
              <w:widowControl/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509A878B">
            <w:pPr>
              <w:widowControl/>
              <w:tabs>
                <w:tab w:val="left" w:pos="8187"/>
                <w:tab w:val="right" w:pos="11129"/>
              </w:tabs>
              <w:ind w:firstLine="7680" w:firstLineChars="3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（盖章）              </w:t>
            </w:r>
          </w:p>
          <w:p w14:paraId="7473F71E">
            <w:pPr>
              <w:widowControl/>
              <w:wordWrap w:val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383EF3B8">
            <w:pPr>
              <w:widowControl/>
              <w:ind w:firstLine="6720" w:firstLineChars="2800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   年    月    日   </w:t>
            </w:r>
          </w:p>
        </w:tc>
      </w:tr>
      <w:tr w14:paraId="64864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74A57"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63FC65BD"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意见：                                          </w:t>
            </w:r>
          </w:p>
          <w:p w14:paraId="2E6E3AE3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                                                       （盖章）              </w:t>
            </w:r>
          </w:p>
          <w:p w14:paraId="4518ABA4"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45E8B115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年    月    日</w:t>
            </w:r>
          </w:p>
        </w:tc>
      </w:tr>
      <w:tr w14:paraId="5F781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45842"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6CE66FB5"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47B97B4D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33A41BAB">
            <w:pPr>
              <w:pStyle w:val="2"/>
              <w:ind w:firstLine="7200" w:firstLineChars="30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  <w:p w14:paraId="6446D70F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70B5DE7B">
      <w:pPr>
        <w:spacing w:line="30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</w:rPr>
        <w:t>注意事项：</w:t>
      </w:r>
      <w:r>
        <w:rPr>
          <w:rFonts w:hint="eastAsia" w:ascii="仿宋_GB2312" w:hAnsi="仿宋_GB2312" w:eastAsia="仿宋_GB2312" w:cs="仿宋_GB2312"/>
          <w:color w:val="auto"/>
        </w:rPr>
        <w:t>本表一式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</w:rPr>
        <w:t>份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</w:rPr>
        <w:t>由承办单位留存二年</w:t>
      </w:r>
    </w:p>
    <w:p w14:paraId="5EDB4C60">
      <w:pPr>
        <w:pStyle w:val="2"/>
        <w:rPr>
          <w:color w:val="auto"/>
        </w:rPr>
      </w:pPr>
    </w:p>
    <w:sectPr>
      <w:footerReference r:id="rId4" w:type="default"/>
      <w:pgSz w:w="11905" w:h="16838"/>
      <w:pgMar w:top="1531" w:right="1531" w:bottom="1531" w:left="1531" w:header="850" w:footer="1587" w:gutter="0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3DE08">
    <w:pPr>
      <w:spacing w:line="183" w:lineRule="auto"/>
      <w:ind w:left="226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C5DA0"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xTN8ABAACN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2cg0Ib44JC5d+MuoENRfDKRVG80blNXh8L1kPf9H2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CdDFM3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3C5DA0"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C258C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0dLr8gBAACZAwAADgAAAGRycy9lMm9Eb2MueG1srVPNjtMwEL4j8Q6W&#10;79RpD6gb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+Qm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tHS6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9C258C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E7B03"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A22A9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9A22A9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23C26"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023C26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15E5C"/>
    <w:multiLevelType w:val="singleLevel"/>
    <w:tmpl w:val="D9115E5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documentProtection w:enforcement="0"/>
  <w:defaultTabStop w:val="420"/>
  <w:drawingGridHorizontalSpacing w:val="210"/>
  <w:drawingGridVerticalSpacing w:val="-794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7D2BAF"/>
    <w:rsid w:val="00067E6C"/>
    <w:rsid w:val="000B0099"/>
    <w:rsid w:val="0026167F"/>
    <w:rsid w:val="003927C2"/>
    <w:rsid w:val="004B51FE"/>
    <w:rsid w:val="009932F5"/>
    <w:rsid w:val="00B0015E"/>
    <w:rsid w:val="017E4FE5"/>
    <w:rsid w:val="02AB3506"/>
    <w:rsid w:val="02F67B91"/>
    <w:rsid w:val="0349324F"/>
    <w:rsid w:val="05704193"/>
    <w:rsid w:val="05BD30AA"/>
    <w:rsid w:val="05F86070"/>
    <w:rsid w:val="07A83F91"/>
    <w:rsid w:val="09850591"/>
    <w:rsid w:val="0A1923FB"/>
    <w:rsid w:val="0C3F18CE"/>
    <w:rsid w:val="0C9F1D52"/>
    <w:rsid w:val="0D4B6E86"/>
    <w:rsid w:val="0F2C3F7A"/>
    <w:rsid w:val="0F660406"/>
    <w:rsid w:val="0FC26DC2"/>
    <w:rsid w:val="104052C9"/>
    <w:rsid w:val="112A73BE"/>
    <w:rsid w:val="11964C8D"/>
    <w:rsid w:val="11DD09B7"/>
    <w:rsid w:val="120E3146"/>
    <w:rsid w:val="12581D3C"/>
    <w:rsid w:val="12EE12FC"/>
    <w:rsid w:val="13BE5A23"/>
    <w:rsid w:val="147C0404"/>
    <w:rsid w:val="15971E0D"/>
    <w:rsid w:val="16AA5103"/>
    <w:rsid w:val="17312A01"/>
    <w:rsid w:val="194E6B6B"/>
    <w:rsid w:val="19B864D1"/>
    <w:rsid w:val="1A0E3E43"/>
    <w:rsid w:val="1B971F6B"/>
    <w:rsid w:val="1BEF6553"/>
    <w:rsid w:val="1C506CCF"/>
    <w:rsid w:val="1CCE5365"/>
    <w:rsid w:val="1DF16988"/>
    <w:rsid w:val="1E14690B"/>
    <w:rsid w:val="1E462327"/>
    <w:rsid w:val="1F2062BC"/>
    <w:rsid w:val="1FAF38DC"/>
    <w:rsid w:val="211D2294"/>
    <w:rsid w:val="2147670F"/>
    <w:rsid w:val="21BF10FA"/>
    <w:rsid w:val="23294A81"/>
    <w:rsid w:val="234C7BC3"/>
    <w:rsid w:val="24070353"/>
    <w:rsid w:val="255229E3"/>
    <w:rsid w:val="25A766F9"/>
    <w:rsid w:val="265E4BBF"/>
    <w:rsid w:val="273808F6"/>
    <w:rsid w:val="2747635D"/>
    <w:rsid w:val="27A11AEB"/>
    <w:rsid w:val="288679F2"/>
    <w:rsid w:val="28BE73FD"/>
    <w:rsid w:val="28F36F4B"/>
    <w:rsid w:val="29A57832"/>
    <w:rsid w:val="2A2F0202"/>
    <w:rsid w:val="2A930BB7"/>
    <w:rsid w:val="2B8521F5"/>
    <w:rsid w:val="2BFA3A95"/>
    <w:rsid w:val="2CEC6A6B"/>
    <w:rsid w:val="2FEC2F02"/>
    <w:rsid w:val="30FC0B5C"/>
    <w:rsid w:val="360F0182"/>
    <w:rsid w:val="3649244A"/>
    <w:rsid w:val="367E7C05"/>
    <w:rsid w:val="377F5C76"/>
    <w:rsid w:val="38171665"/>
    <w:rsid w:val="3B2F0DE4"/>
    <w:rsid w:val="3CC54800"/>
    <w:rsid w:val="3CD56FA0"/>
    <w:rsid w:val="3FFFF6F3"/>
    <w:rsid w:val="4059349E"/>
    <w:rsid w:val="43EC3F70"/>
    <w:rsid w:val="441C0054"/>
    <w:rsid w:val="44A076B3"/>
    <w:rsid w:val="46273F11"/>
    <w:rsid w:val="470D6873"/>
    <w:rsid w:val="48C81895"/>
    <w:rsid w:val="49795458"/>
    <w:rsid w:val="4A2F167C"/>
    <w:rsid w:val="4B282D8D"/>
    <w:rsid w:val="4BCD2116"/>
    <w:rsid w:val="4C370094"/>
    <w:rsid w:val="4C816761"/>
    <w:rsid w:val="4CB65C5D"/>
    <w:rsid w:val="4D1B627E"/>
    <w:rsid w:val="4D245BC1"/>
    <w:rsid w:val="4DDF27A2"/>
    <w:rsid w:val="4E5D4A2F"/>
    <w:rsid w:val="4FEE4652"/>
    <w:rsid w:val="514832E3"/>
    <w:rsid w:val="5289065F"/>
    <w:rsid w:val="52D07DAC"/>
    <w:rsid w:val="53A027B5"/>
    <w:rsid w:val="53BA3B34"/>
    <w:rsid w:val="54530922"/>
    <w:rsid w:val="54972ED6"/>
    <w:rsid w:val="559352E6"/>
    <w:rsid w:val="57E57121"/>
    <w:rsid w:val="5A696C82"/>
    <w:rsid w:val="5BB83F19"/>
    <w:rsid w:val="5BC403E9"/>
    <w:rsid w:val="5D311601"/>
    <w:rsid w:val="5E810D71"/>
    <w:rsid w:val="5EB64911"/>
    <w:rsid w:val="5EE637FD"/>
    <w:rsid w:val="5F7D1693"/>
    <w:rsid w:val="60CC633D"/>
    <w:rsid w:val="62A87A5C"/>
    <w:rsid w:val="62B31177"/>
    <w:rsid w:val="64C900E7"/>
    <w:rsid w:val="662E4D9B"/>
    <w:rsid w:val="68340EB3"/>
    <w:rsid w:val="693B5442"/>
    <w:rsid w:val="69621905"/>
    <w:rsid w:val="697831FE"/>
    <w:rsid w:val="6BB02F17"/>
    <w:rsid w:val="6CC01C42"/>
    <w:rsid w:val="6F7D2BAF"/>
    <w:rsid w:val="72846EA1"/>
    <w:rsid w:val="72A46AB8"/>
    <w:rsid w:val="73B8339E"/>
    <w:rsid w:val="75D26809"/>
    <w:rsid w:val="770874ED"/>
    <w:rsid w:val="787C09E2"/>
    <w:rsid w:val="7AEC944A"/>
    <w:rsid w:val="7BF12E0D"/>
    <w:rsid w:val="7BF749F3"/>
    <w:rsid w:val="7D8E7EBB"/>
    <w:rsid w:val="7DE0046F"/>
    <w:rsid w:val="7E0D3C15"/>
    <w:rsid w:val="7FE474BB"/>
    <w:rsid w:val="CEC71338"/>
    <w:rsid w:val="D9CCEC22"/>
    <w:rsid w:val="EDED7134"/>
    <w:rsid w:val="FF796214"/>
    <w:rsid w:val="FF8FD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5"/>
    <w:qFormat/>
    <w:uiPriority w:val="0"/>
    <w:pPr>
      <w:spacing w:line="560" w:lineRule="exact"/>
      <w:ind w:firstLine="721" w:firstLineChars="200"/>
    </w:pPr>
    <w:rPr>
      <w:rFonts w:ascii="Calibri"/>
    </w:rPr>
  </w:style>
  <w:style w:type="character" w:styleId="12">
    <w:name w:val="page number"/>
    <w:basedOn w:val="11"/>
    <w:unhideWhenUsed/>
    <w:qFormat/>
    <w:uiPriority w:val="0"/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Body Text First Indent 21"/>
    <w:basedOn w:val="1"/>
    <w:qFormat/>
    <w:uiPriority w:val="0"/>
    <w:pPr>
      <w:ind w:left="420" w:leftChars="200" w:firstLine="420"/>
    </w:pPr>
  </w:style>
  <w:style w:type="paragraph" w:customStyle="1" w:styleId="16">
    <w:name w:val="1.正文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2605</Words>
  <Characters>2717</Characters>
  <Lines>81</Lines>
  <Paragraphs>22</Paragraphs>
  <TotalTime>20</TotalTime>
  <ScaleCrop>false</ScaleCrop>
  <LinksUpToDate>false</LinksUpToDate>
  <CharactersWithSpaces>3176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2025-05-16T17:08:00Z</dcterms:created>
  <dc:creator>lxl</dc:creator>
  <cp:lastModifiedBy>晴时有风</cp:lastModifiedBy>
  <cp:lastPrinted>2025-07-10T10:25:00Z</cp:lastPrinted>
  <dcterms:modified xsi:type="dcterms:W3CDTF">2025-07-23T01:45:34Z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A9A0FE6E679B4401877B1544AEF62F25_13</vt:lpwstr>
  </property>
  <property fmtid="{D5CDD505-2E9C-101B-9397-08002B2CF9AE}" pid="4" name="KSOTemplateDocerSaveRecord">
    <vt:lpwstr>eyJoZGlkIjoiMzZjODdmZjY0Njk4MjI2MDY1NTU1NjU5ZTFhNDA5YzQiLCJ1c2VySWQiOiIxNTAyMjQwMTEifQ==</vt:lpwstr>
  </property>
</Properties>
</file>